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EF41" w14:textId="77777777" w:rsidR="005B0109" w:rsidRPr="00694C4B" w:rsidRDefault="005B0109"/>
    <w:p w14:paraId="639F60E5" w14:textId="5CAFEDBB" w:rsidR="00D2792C" w:rsidRDefault="00694C4B">
      <w:pPr>
        <w:spacing w:after="160" w:line="259" w:lineRule="auto"/>
        <w:rPr>
          <w:rFonts w:eastAsia="Calibri"/>
          <w:b/>
          <w:sz w:val="28"/>
          <w:szCs w:val="28"/>
          <w:u w:val="single"/>
        </w:rPr>
      </w:pPr>
      <w:r>
        <w:rPr>
          <w:rFonts w:eastAsia="Calibri"/>
          <w:b/>
          <w:sz w:val="28"/>
          <w:szCs w:val="28"/>
          <w:u w:val="single"/>
        </w:rPr>
        <w:t>HOW TO USE THIS DOCUMENT:</w:t>
      </w:r>
    </w:p>
    <w:p w14:paraId="15F1C98F" w14:textId="178B3B37" w:rsidR="00D2792C" w:rsidRDefault="00D2792C" w:rsidP="00D2792C">
      <w:r w:rsidRPr="00D2792C">
        <w:t xml:space="preserve">This document sets prohibitions and minimum requirements for </w:t>
      </w:r>
      <w:r>
        <w:t xml:space="preserve">office supplies </w:t>
      </w:r>
      <w:r w:rsidRPr="00D2792C">
        <w:t>procured by the State of Maryland with which Contractors are required to comply</w:t>
      </w:r>
      <w:r>
        <w:t>.</w:t>
      </w:r>
    </w:p>
    <w:p w14:paraId="536B7E20" w14:textId="5DD286F6" w:rsidR="00FE46BB" w:rsidRDefault="00FE46BB" w:rsidP="00D2792C"/>
    <w:p w14:paraId="70907670" w14:textId="426B8F38" w:rsidR="00FE46BB" w:rsidRDefault="00FE46BB" w:rsidP="00D2792C">
      <w:r>
        <w:t xml:space="preserve">If </w:t>
      </w:r>
      <w:r w:rsidR="00791FC7">
        <w:t>soliciting</w:t>
      </w:r>
      <w:r>
        <w:t xml:space="preserve"> for Electronics and IT (e.g. computers, tablets, televisions, etc.) include the GPC approved specification for </w:t>
      </w:r>
      <w:hyperlink r:id="rId8" w:history="1">
        <w:r w:rsidRPr="00FE46BB">
          <w:rPr>
            <w:rStyle w:val="Hyperlink"/>
          </w:rPr>
          <w:t>Electronic and IT products</w:t>
        </w:r>
      </w:hyperlink>
      <w:r>
        <w:t xml:space="preserve">. </w:t>
      </w:r>
    </w:p>
    <w:p w14:paraId="09684C32" w14:textId="013FCA59" w:rsidR="00FE46BB" w:rsidRDefault="00FE46BB" w:rsidP="00D2792C"/>
    <w:p w14:paraId="074263F2" w14:textId="47F56F49" w:rsidR="00FE46BB" w:rsidRDefault="00FE46BB" w:rsidP="00D2792C">
      <w:r>
        <w:t xml:space="preserve">If </w:t>
      </w:r>
      <w:r w:rsidR="00791FC7">
        <w:t>soliciting</w:t>
      </w:r>
      <w:r>
        <w:t xml:space="preserve"> for cleaning products, include the GPC approved specification for </w:t>
      </w:r>
      <w:hyperlink r:id="rId9" w:history="1">
        <w:r w:rsidRPr="00FE46BB">
          <w:rPr>
            <w:rStyle w:val="Hyperlink"/>
          </w:rPr>
          <w:t>Janitorial Supplies</w:t>
        </w:r>
      </w:hyperlink>
      <w:r>
        <w:t xml:space="preserve">. </w:t>
      </w:r>
    </w:p>
    <w:p w14:paraId="0229CED1" w14:textId="41CDF9B7" w:rsidR="00D2792C" w:rsidRPr="00D2792C" w:rsidRDefault="00D2792C" w:rsidP="00D2792C">
      <w:r w:rsidRPr="00D2792C">
        <w:t xml:space="preserve"> </w:t>
      </w:r>
    </w:p>
    <w:p w14:paraId="384EA228" w14:textId="77777777" w:rsidR="00E20E32" w:rsidRDefault="00E20E32" w:rsidP="00E20E32">
      <w:pPr>
        <w:spacing w:line="259" w:lineRule="auto"/>
        <w:rPr>
          <w:rFonts w:eastAsia="Calibri"/>
          <w:b/>
          <w:szCs w:val="28"/>
          <w:u w:val="single"/>
        </w:rPr>
      </w:pPr>
    </w:p>
    <w:p w14:paraId="3BAFA555" w14:textId="77777777" w:rsidR="0020063A" w:rsidRDefault="0020063A">
      <w:pPr>
        <w:spacing w:after="160" w:line="259" w:lineRule="auto"/>
        <w:rPr>
          <w:rFonts w:eastAsia="Calibri"/>
        </w:rPr>
      </w:pPr>
      <w:r w:rsidRPr="008026B2">
        <w:rPr>
          <w:rFonts w:eastAsia="Calibri"/>
          <w:b/>
          <w:szCs w:val="28"/>
          <w:u w:val="single"/>
        </w:rPr>
        <w:t>PRODUCTS COVERED UNDER THIS SPECIFICATION:</w:t>
      </w:r>
      <w:r>
        <w:rPr>
          <w:rFonts w:eastAsia="Calibri"/>
        </w:rPr>
        <w:t xml:space="preserve"> </w:t>
      </w:r>
    </w:p>
    <w:p w14:paraId="5C668EAF" w14:textId="688B7302" w:rsidR="00350D1F" w:rsidRDefault="00D2792C" w:rsidP="00D2792C">
      <w:pPr>
        <w:spacing w:before="240" w:after="120" w:line="259" w:lineRule="auto"/>
        <w:rPr>
          <w:rFonts w:eastAsia="Calibri"/>
          <w:iCs/>
        </w:rPr>
      </w:pPr>
      <w:r>
        <w:rPr>
          <w:rFonts w:eastAsia="Calibri"/>
          <w:iCs/>
        </w:rPr>
        <w:t xml:space="preserve">Office Paper Products </w:t>
      </w:r>
    </w:p>
    <w:p w14:paraId="48C7FE20" w14:textId="7B3B7928" w:rsidR="00D2792C" w:rsidRDefault="00D2792C" w:rsidP="00D2792C">
      <w:pPr>
        <w:spacing w:before="240" w:after="120" w:line="259" w:lineRule="auto"/>
        <w:rPr>
          <w:rFonts w:eastAsia="Calibri"/>
          <w:iCs/>
        </w:rPr>
      </w:pPr>
      <w:r>
        <w:rPr>
          <w:rFonts w:eastAsia="Calibri"/>
          <w:iCs/>
        </w:rPr>
        <w:t xml:space="preserve">Non-paper Office Supplies </w:t>
      </w:r>
    </w:p>
    <w:p w14:paraId="657CC37C" w14:textId="1235469B" w:rsidR="00BE3693" w:rsidRPr="004E5511" w:rsidRDefault="00D2792C" w:rsidP="004E5511">
      <w:pPr>
        <w:spacing w:before="240" w:after="120" w:line="259" w:lineRule="auto"/>
        <w:rPr>
          <w:rFonts w:eastAsia="Calibri"/>
          <w:iCs/>
        </w:rPr>
      </w:pPr>
      <w:r>
        <w:rPr>
          <w:rFonts w:eastAsia="Calibri"/>
          <w:iCs/>
        </w:rPr>
        <w:t xml:space="preserve">Office Electronics and Furniture </w:t>
      </w:r>
      <w:bookmarkStart w:id="0" w:name="_30j0zll" w:colFirst="0" w:colLast="0"/>
      <w:bookmarkEnd w:id="0"/>
    </w:p>
    <w:p w14:paraId="7E646C2C" w14:textId="77777777" w:rsidR="00CF4864" w:rsidRDefault="00CF4864">
      <w:pPr>
        <w:spacing w:after="160" w:line="259" w:lineRule="auto"/>
        <w:rPr>
          <w:rFonts w:eastAsia="Calibri"/>
          <w:b/>
          <w:sz w:val="28"/>
          <w:szCs w:val="28"/>
          <w:u w:val="single"/>
        </w:rPr>
      </w:pPr>
    </w:p>
    <w:p w14:paraId="6D96C50C" w14:textId="77777777" w:rsidR="00CF4864" w:rsidRDefault="00CF4864">
      <w:pPr>
        <w:spacing w:after="160" w:line="259" w:lineRule="auto"/>
        <w:rPr>
          <w:rFonts w:eastAsia="Calibri"/>
          <w:b/>
          <w:sz w:val="28"/>
          <w:szCs w:val="28"/>
          <w:u w:val="single"/>
        </w:rPr>
      </w:pPr>
    </w:p>
    <w:p w14:paraId="4C12614F" w14:textId="77777777" w:rsidR="00CF4864" w:rsidRDefault="00CF4864">
      <w:pPr>
        <w:spacing w:after="160" w:line="259" w:lineRule="auto"/>
        <w:rPr>
          <w:rFonts w:eastAsia="Calibri"/>
          <w:b/>
          <w:sz w:val="28"/>
          <w:szCs w:val="28"/>
          <w:u w:val="single"/>
        </w:rPr>
      </w:pPr>
    </w:p>
    <w:p w14:paraId="782BE897" w14:textId="77777777" w:rsidR="00CF4864" w:rsidRDefault="00CF4864">
      <w:pPr>
        <w:spacing w:after="160" w:line="259" w:lineRule="auto"/>
        <w:rPr>
          <w:rFonts w:eastAsia="Calibri"/>
          <w:b/>
          <w:sz w:val="28"/>
          <w:szCs w:val="28"/>
          <w:u w:val="single"/>
        </w:rPr>
      </w:pPr>
    </w:p>
    <w:p w14:paraId="4786E157" w14:textId="77777777" w:rsidR="00CF4864" w:rsidRDefault="00CF4864">
      <w:pPr>
        <w:spacing w:after="160" w:line="259" w:lineRule="auto"/>
        <w:rPr>
          <w:rFonts w:eastAsia="Calibri"/>
          <w:b/>
          <w:sz w:val="28"/>
          <w:szCs w:val="28"/>
          <w:u w:val="single"/>
        </w:rPr>
      </w:pPr>
    </w:p>
    <w:p w14:paraId="1C7FA372" w14:textId="77777777" w:rsidR="00CF4864" w:rsidRDefault="00CF4864">
      <w:pPr>
        <w:spacing w:after="160" w:line="259" w:lineRule="auto"/>
        <w:rPr>
          <w:rFonts w:eastAsia="Calibri"/>
          <w:b/>
          <w:sz w:val="28"/>
          <w:szCs w:val="28"/>
          <w:u w:val="single"/>
        </w:rPr>
      </w:pPr>
    </w:p>
    <w:p w14:paraId="67AE01E9" w14:textId="77777777" w:rsidR="00CF4864" w:rsidRDefault="00CF4864">
      <w:pPr>
        <w:spacing w:after="160" w:line="259" w:lineRule="auto"/>
        <w:rPr>
          <w:rFonts w:eastAsia="Calibri"/>
          <w:b/>
          <w:sz w:val="28"/>
          <w:szCs w:val="28"/>
          <w:u w:val="single"/>
        </w:rPr>
      </w:pPr>
    </w:p>
    <w:p w14:paraId="198C3C03" w14:textId="77777777" w:rsidR="00CF4864" w:rsidRDefault="00CF4864">
      <w:pPr>
        <w:spacing w:after="160" w:line="259" w:lineRule="auto"/>
        <w:rPr>
          <w:rFonts w:eastAsia="Calibri"/>
          <w:b/>
          <w:sz w:val="28"/>
          <w:szCs w:val="28"/>
          <w:u w:val="single"/>
        </w:rPr>
      </w:pPr>
    </w:p>
    <w:p w14:paraId="33E6F5F0" w14:textId="77777777" w:rsidR="00CF4864" w:rsidRDefault="00CF4864">
      <w:pPr>
        <w:spacing w:after="160" w:line="259" w:lineRule="auto"/>
        <w:rPr>
          <w:rFonts w:eastAsia="Calibri"/>
          <w:b/>
          <w:sz w:val="28"/>
          <w:szCs w:val="28"/>
          <w:u w:val="single"/>
        </w:rPr>
      </w:pPr>
    </w:p>
    <w:p w14:paraId="3E75D087" w14:textId="77777777" w:rsidR="006C7F81" w:rsidRDefault="006C7F81">
      <w:pPr>
        <w:spacing w:after="160" w:line="259" w:lineRule="auto"/>
        <w:rPr>
          <w:rFonts w:eastAsia="Calibri"/>
          <w:b/>
          <w:sz w:val="28"/>
          <w:szCs w:val="28"/>
          <w:u w:val="single"/>
        </w:rPr>
      </w:pPr>
    </w:p>
    <w:p w14:paraId="48CDAACD" w14:textId="77777777" w:rsidR="006C7F81" w:rsidRDefault="006C7F81">
      <w:pPr>
        <w:spacing w:after="160" w:line="259" w:lineRule="auto"/>
        <w:rPr>
          <w:rFonts w:eastAsia="Calibri"/>
          <w:b/>
          <w:sz w:val="28"/>
          <w:szCs w:val="28"/>
          <w:u w:val="single"/>
        </w:rPr>
      </w:pPr>
    </w:p>
    <w:p w14:paraId="151E598F" w14:textId="77777777" w:rsidR="006C7F81" w:rsidRDefault="006C7F81">
      <w:pPr>
        <w:spacing w:after="160" w:line="259" w:lineRule="auto"/>
        <w:rPr>
          <w:rFonts w:eastAsia="Calibri"/>
          <w:b/>
          <w:sz w:val="28"/>
          <w:szCs w:val="28"/>
          <w:u w:val="single"/>
        </w:rPr>
      </w:pPr>
    </w:p>
    <w:p w14:paraId="485E89AE" w14:textId="77777777" w:rsidR="006C7F81" w:rsidRDefault="006C7F81">
      <w:pPr>
        <w:spacing w:after="160" w:line="259" w:lineRule="auto"/>
        <w:rPr>
          <w:rFonts w:eastAsia="Calibri"/>
          <w:b/>
          <w:sz w:val="28"/>
          <w:szCs w:val="28"/>
          <w:u w:val="single"/>
        </w:rPr>
      </w:pPr>
    </w:p>
    <w:p w14:paraId="1AB6CE43" w14:textId="77777777" w:rsidR="00CF4864" w:rsidRDefault="00CF4864">
      <w:pPr>
        <w:spacing w:after="160" w:line="259" w:lineRule="auto"/>
        <w:rPr>
          <w:rFonts w:eastAsia="Calibri"/>
          <w:b/>
          <w:sz w:val="28"/>
          <w:szCs w:val="28"/>
          <w:u w:val="single"/>
        </w:rPr>
      </w:pPr>
    </w:p>
    <w:sdt>
      <w:sdtPr>
        <w:rPr>
          <w:rFonts w:ascii="Arial" w:eastAsia="Arial" w:hAnsi="Arial" w:cs="Arial"/>
          <w:color w:val="auto"/>
          <w:sz w:val="22"/>
          <w:szCs w:val="22"/>
          <w:lang w:val="en"/>
        </w:rPr>
        <w:id w:val="-798760825"/>
        <w:docPartObj>
          <w:docPartGallery w:val="Table of Contents"/>
          <w:docPartUnique/>
        </w:docPartObj>
      </w:sdtPr>
      <w:sdtEndPr>
        <w:rPr>
          <w:rFonts w:ascii="Times New Roman" w:eastAsia="Times New Roman" w:hAnsi="Times New Roman" w:cs="Times New Roman"/>
          <w:b/>
          <w:bCs/>
          <w:noProof/>
          <w:sz w:val="24"/>
          <w:szCs w:val="24"/>
          <w:lang w:val="en-US"/>
        </w:rPr>
      </w:sdtEndPr>
      <w:sdtContent>
        <w:p w14:paraId="7213A2A6" w14:textId="77777777" w:rsidR="00A4234B" w:rsidRPr="00CF4864" w:rsidRDefault="00E81FC6">
          <w:pPr>
            <w:pStyle w:val="TOCHeading"/>
          </w:pPr>
          <w:r w:rsidRPr="00E81FC6">
            <w:rPr>
              <w:rFonts w:ascii="Times New Roman" w:hAnsi="Times New Roman" w:cs="Times New Roman"/>
              <w:b/>
              <w:color w:val="auto"/>
              <w:u w:val="single"/>
            </w:rPr>
            <w:t>TABLE OF CONTENTS:</w:t>
          </w:r>
        </w:p>
        <w:p w14:paraId="12B3158E" w14:textId="4DE2F198" w:rsidR="004E5511" w:rsidRDefault="004E5511">
          <w:pPr>
            <w:pStyle w:val="TOC1"/>
            <w:tabs>
              <w:tab w:val="left" w:pos="480"/>
              <w:tab w:val="right" w:leader="dot" w:pos="9350"/>
            </w:tabs>
            <w:rPr>
              <w:rFonts w:asciiTheme="minorHAnsi" w:eastAsiaTheme="minorEastAsia" w:hAnsiTheme="minorHAnsi" w:cstheme="minorBidi"/>
              <w:noProof/>
            </w:rPr>
          </w:pPr>
          <w:r>
            <w:rPr>
              <w:b/>
              <w:bCs/>
              <w:noProof/>
            </w:rPr>
            <w:fldChar w:fldCharType="begin"/>
          </w:r>
          <w:r>
            <w:rPr>
              <w:b/>
              <w:bCs/>
              <w:noProof/>
            </w:rPr>
            <w:instrText xml:space="preserve"> TOC \o "1-2" \h \z \u </w:instrText>
          </w:r>
          <w:r>
            <w:rPr>
              <w:b/>
              <w:bCs/>
              <w:noProof/>
            </w:rPr>
            <w:fldChar w:fldCharType="separate"/>
          </w:r>
          <w:hyperlink w:anchor="_Toc113363432" w:history="1">
            <w:r w:rsidRPr="004D7033">
              <w:rPr>
                <w:rStyle w:val="Hyperlink"/>
                <w:noProof/>
              </w:rPr>
              <w:t>1.</w:t>
            </w:r>
            <w:r>
              <w:rPr>
                <w:rFonts w:asciiTheme="minorHAnsi" w:eastAsiaTheme="minorEastAsia" w:hAnsiTheme="minorHAnsi" w:cstheme="minorBidi"/>
                <w:noProof/>
              </w:rPr>
              <w:tab/>
            </w:r>
            <w:r w:rsidRPr="004D7033">
              <w:rPr>
                <w:rStyle w:val="Hyperlink"/>
                <w:noProof/>
              </w:rPr>
              <w:t>ENVIRONMENTALLY PREFERABLE PURCHASING: LEGISLATION, STATUTES, AND REGULATIONS</w:t>
            </w:r>
            <w:r>
              <w:rPr>
                <w:noProof/>
                <w:webHidden/>
              </w:rPr>
              <w:tab/>
            </w:r>
            <w:r>
              <w:rPr>
                <w:noProof/>
                <w:webHidden/>
              </w:rPr>
              <w:fldChar w:fldCharType="begin"/>
            </w:r>
            <w:r>
              <w:rPr>
                <w:noProof/>
                <w:webHidden/>
              </w:rPr>
              <w:instrText xml:space="preserve"> PAGEREF _Toc113363432 \h </w:instrText>
            </w:r>
            <w:r>
              <w:rPr>
                <w:noProof/>
                <w:webHidden/>
              </w:rPr>
            </w:r>
            <w:r>
              <w:rPr>
                <w:noProof/>
                <w:webHidden/>
              </w:rPr>
              <w:fldChar w:fldCharType="separate"/>
            </w:r>
            <w:r>
              <w:rPr>
                <w:noProof/>
                <w:webHidden/>
              </w:rPr>
              <w:t>3</w:t>
            </w:r>
            <w:r>
              <w:rPr>
                <w:noProof/>
                <w:webHidden/>
              </w:rPr>
              <w:fldChar w:fldCharType="end"/>
            </w:r>
          </w:hyperlink>
        </w:p>
        <w:p w14:paraId="7B4E9E4E" w14:textId="4B3F641B" w:rsidR="004E5511" w:rsidRDefault="00CB2C8A">
          <w:pPr>
            <w:pStyle w:val="TOC1"/>
            <w:tabs>
              <w:tab w:val="left" w:pos="480"/>
              <w:tab w:val="right" w:leader="dot" w:pos="9350"/>
            </w:tabs>
            <w:rPr>
              <w:rFonts w:asciiTheme="minorHAnsi" w:eastAsiaTheme="minorEastAsia" w:hAnsiTheme="minorHAnsi" w:cstheme="minorBidi"/>
              <w:noProof/>
            </w:rPr>
          </w:pPr>
          <w:hyperlink w:anchor="_Toc113363433" w:history="1">
            <w:r w:rsidR="004E5511" w:rsidRPr="004D7033">
              <w:rPr>
                <w:rStyle w:val="Hyperlink"/>
                <w:noProof/>
              </w:rPr>
              <w:t>2.</w:t>
            </w:r>
            <w:r w:rsidR="004E5511">
              <w:rPr>
                <w:rFonts w:asciiTheme="minorHAnsi" w:eastAsiaTheme="minorEastAsia" w:hAnsiTheme="minorHAnsi" w:cstheme="minorBidi"/>
                <w:noProof/>
              </w:rPr>
              <w:tab/>
            </w:r>
            <w:r w:rsidR="004E5511" w:rsidRPr="004D7033">
              <w:rPr>
                <w:rStyle w:val="Hyperlink"/>
                <w:noProof/>
              </w:rPr>
              <w:t>Prohibitions</w:t>
            </w:r>
            <w:r w:rsidR="004E5511">
              <w:rPr>
                <w:noProof/>
                <w:webHidden/>
              </w:rPr>
              <w:tab/>
            </w:r>
            <w:r w:rsidR="004E5511">
              <w:rPr>
                <w:noProof/>
                <w:webHidden/>
              </w:rPr>
              <w:fldChar w:fldCharType="begin"/>
            </w:r>
            <w:r w:rsidR="004E5511">
              <w:rPr>
                <w:noProof/>
                <w:webHidden/>
              </w:rPr>
              <w:instrText xml:space="preserve"> PAGEREF _Toc113363433 \h </w:instrText>
            </w:r>
            <w:r w:rsidR="004E5511">
              <w:rPr>
                <w:noProof/>
                <w:webHidden/>
              </w:rPr>
            </w:r>
            <w:r w:rsidR="004E5511">
              <w:rPr>
                <w:noProof/>
                <w:webHidden/>
              </w:rPr>
              <w:fldChar w:fldCharType="separate"/>
            </w:r>
            <w:r w:rsidR="004E5511">
              <w:rPr>
                <w:noProof/>
                <w:webHidden/>
              </w:rPr>
              <w:t>3</w:t>
            </w:r>
            <w:r w:rsidR="004E5511">
              <w:rPr>
                <w:noProof/>
                <w:webHidden/>
              </w:rPr>
              <w:fldChar w:fldCharType="end"/>
            </w:r>
          </w:hyperlink>
        </w:p>
        <w:p w14:paraId="121C1F9C" w14:textId="59A9B7E7" w:rsidR="004E5511" w:rsidRDefault="00CB2C8A">
          <w:pPr>
            <w:pStyle w:val="TOC1"/>
            <w:tabs>
              <w:tab w:val="left" w:pos="480"/>
              <w:tab w:val="right" w:leader="dot" w:pos="9350"/>
            </w:tabs>
            <w:rPr>
              <w:rFonts w:asciiTheme="minorHAnsi" w:eastAsiaTheme="minorEastAsia" w:hAnsiTheme="minorHAnsi" w:cstheme="minorBidi"/>
              <w:noProof/>
            </w:rPr>
          </w:pPr>
          <w:hyperlink w:anchor="_Toc113363434" w:history="1">
            <w:r w:rsidR="004E5511" w:rsidRPr="004D7033">
              <w:rPr>
                <w:rStyle w:val="Hyperlink"/>
                <w:noProof/>
              </w:rPr>
              <w:t>3.</w:t>
            </w:r>
            <w:r w:rsidR="004E5511">
              <w:rPr>
                <w:rFonts w:asciiTheme="minorHAnsi" w:eastAsiaTheme="minorEastAsia" w:hAnsiTheme="minorHAnsi" w:cstheme="minorBidi"/>
                <w:noProof/>
              </w:rPr>
              <w:tab/>
            </w:r>
            <w:r w:rsidR="004E5511" w:rsidRPr="004D7033">
              <w:rPr>
                <w:rStyle w:val="Hyperlink"/>
                <w:noProof/>
              </w:rPr>
              <w:t>MINIMUM REQUIREMENTS</w:t>
            </w:r>
            <w:r w:rsidR="004E5511">
              <w:rPr>
                <w:noProof/>
                <w:webHidden/>
              </w:rPr>
              <w:tab/>
            </w:r>
            <w:r w:rsidR="004E5511">
              <w:rPr>
                <w:noProof/>
                <w:webHidden/>
              </w:rPr>
              <w:fldChar w:fldCharType="begin"/>
            </w:r>
            <w:r w:rsidR="004E5511">
              <w:rPr>
                <w:noProof/>
                <w:webHidden/>
              </w:rPr>
              <w:instrText xml:space="preserve"> PAGEREF _Toc113363434 \h </w:instrText>
            </w:r>
            <w:r w:rsidR="004E5511">
              <w:rPr>
                <w:noProof/>
                <w:webHidden/>
              </w:rPr>
            </w:r>
            <w:r w:rsidR="004E5511">
              <w:rPr>
                <w:noProof/>
                <w:webHidden/>
              </w:rPr>
              <w:fldChar w:fldCharType="separate"/>
            </w:r>
            <w:r w:rsidR="004E5511">
              <w:rPr>
                <w:noProof/>
                <w:webHidden/>
              </w:rPr>
              <w:t>4</w:t>
            </w:r>
            <w:r w:rsidR="004E5511">
              <w:rPr>
                <w:noProof/>
                <w:webHidden/>
              </w:rPr>
              <w:fldChar w:fldCharType="end"/>
            </w:r>
          </w:hyperlink>
        </w:p>
        <w:p w14:paraId="5BF54E28" w14:textId="7279A6BD" w:rsidR="004E5511" w:rsidRDefault="00CB2C8A">
          <w:pPr>
            <w:pStyle w:val="TOC2"/>
            <w:tabs>
              <w:tab w:val="left" w:pos="720"/>
              <w:tab w:val="right" w:leader="dot" w:pos="9350"/>
            </w:tabs>
            <w:rPr>
              <w:rFonts w:asciiTheme="minorHAnsi" w:eastAsiaTheme="minorEastAsia" w:hAnsiTheme="minorHAnsi" w:cstheme="minorBidi"/>
              <w:noProof/>
            </w:rPr>
          </w:pPr>
          <w:hyperlink w:anchor="_Toc113363435" w:history="1">
            <w:r w:rsidR="004E5511" w:rsidRPr="004D7033">
              <w:rPr>
                <w:rStyle w:val="Hyperlink"/>
                <w:noProof/>
              </w:rPr>
              <w:t>A.</w:t>
            </w:r>
            <w:r w:rsidR="004E5511">
              <w:rPr>
                <w:rFonts w:asciiTheme="minorHAnsi" w:eastAsiaTheme="minorEastAsia" w:hAnsiTheme="minorHAnsi" w:cstheme="minorBidi"/>
                <w:noProof/>
              </w:rPr>
              <w:tab/>
            </w:r>
            <w:r w:rsidR="004E5511" w:rsidRPr="004D7033">
              <w:rPr>
                <w:rStyle w:val="Hyperlink"/>
                <w:noProof/>
              </w:rPr>
              <w:t>Office Paper Products</w:t>
            </w:r>
            <w:r w:rsidR="004E5511">
              <w:rPr>
                <w:noProof/>
                <w:webHidden/>
              </w:rPr>
              <w:tab/>
            </w:r>
            <w:r w:rsidR="004E5511">
              <w:rPr>
                <w:noProof/>
                <w:webHidden/>
              </w:rPr>
              <w:fldChar w:fldCharType="begin"/>
            </w:r>
            <w:r w:rsidR="004E5511">
              <w:rPr>
                <w:noProof/>
                <w:webHidden/>
              </w:rPr>
              <w:instrText xml:space="preserve"> PAGEREF _Toc113363435 \h </w:instrText>
            </w:r>
            <w:r w:rsidR="004E5511">
              <w:rPr>
                <w:noProof/>
                <w:webHidden/>
              </w:rPr>
            </w:r>
            <w:r w:rsidR="004E5511">
              <w:rPr>
                <w:noProof/>
                <w:webHidden/>
              </w:rPr>
              <w:fldChar w:fldCharType="separate"/>
            </w:r>
            <w:r w:rsidR="004E5511">
              <w:rPr>
                <w:noProof/>
                <w:webHidden/>
              </w:rPr>
              <w:t>4</w:t>
            </w:r>
            <w:r w:rsidR="004E5511">
              <w:rPr>
                <w:noProof/>
                <w:webHidden/>
              </w:rPr>
              <w:fldChar w:fldCharType="end"/>
            </w:r>
          </w:hyperlink>
        </w:p>
        <w:p w14:paraId="6CC42DFE" w14:textId="249C8D11" w:rsidR="004E5511" w:rsidRDefault="00CB2C8A">
          <w:pPr>
            <w:pStyle w:val="TOC2"/>
            <w:tabs>
              <w:tab w:val="left" w:pos="720"/>
              <w:tab w:val="right" w:leader="dot" w:pos="9350"/>
            </w:tabs>
            <w:rPr>
              <w:rFonts w:asciiTheme="minorHAnsi" w:eastAsiaTheme="minorEastAsia" w:hAnsiTheme="minorHAnsi" w:cstheme="minorBidi"/>
              <w:noProof/>
            </w:rPr>
          </w:pPr>
          <w:hyperlink w:anchor="_Toc113363436" w:history="1">
            <w:r w:rsidR="004E5511" w:rsidRPr="004D7033">
              <w:rPr>
                <w:rStyle w:val="Hyperlink"/>
                <w:noProof/>
              </w:rPr>
              <w:t>B.</w:t>
            </w:r>
            <w:r w:rsidR="004E5511">
              <w:rPr>
                <w:rFonts w:asciiTheme="minorHAnsi" w:eastAsiaTheme="minorEastAsia" w:hAnsiTheme="minorHAnsi" w:cstheme="minorBidi"/>
                <w:noProof/>
              </w:rPr>
              <w:tab/>
            </w:r>
            <w:r w:rsidR="004E5511" w:rsidRPr="004D7033">
              <w:rPr>
                <w:rStyle w:val="Hyperlink"/>
                <w:noProof/>
              </w:rPr>
              <w:t>Non-Paper Office Products</w:t>
            </w:r>
            <w:r w:rsidR="004E5511">
              <w:rPr>
                <w:noProof/>
                <w:webHidden/>
              </w:rPr>
              <w:tab/>
            </w:r>
            <w:r w:rsidR="004E5511">
              <w:rPr>
                <w:noProof/>
                <w:webHidden/>
              </w:rPr>
              <w:fldChar w:fldCharType="begin"/>
            </w:r>
            <w:r w:rsidR="004E5511">
              <w:rPr>
                <w:noProof/>
                <w:webHidden/>
              </w:rPr>
              <w:instrText xml:space="preserve"> PAGEREF _Toc113363436 \h </w:instrText>
            </w:r>
            <w:r w:rsidR="004E5511">
              <w:rPr>
                <w:noProof/>
                <w:webHidden/>
              </w:rPr>
            </w:r>
            <w:r w:rsidR="004E5511">
              <w:rPr>
                <w:noProof/>
                <w:webHidden/>
              </w:rPr>
              <w:fldChar w:fldCharType="separate"/>
            </w:r>
            <w:r w:rsidR="004E5511">
              <w:rPr>
                <w:noProof/>
                <w:webHidden/>
              </w:rPr>
              <w:t>4</w:t>
            </w:r>
            <w:r w:rsidR="004E5511">
              <w:rPr>
                <w:noProof/>
                <w:webHidden/>
              </w:rPr>
              <w:fldChar w:fldCharType="end"/>
            </w:r>
          </w:hyperlink>
        </w:p>
        <w:p w14:paraId="3D2564D5" w14:textId="4E8B4612" w:rsidR="004E5511" w:rsidRDefault="00CB2C8A">
          <w:pPr>
            <w:pStyle w:val="TOC2"/>
            <w:tabs>
              <w:tab w:val="left" w:pos="720"/>
              <w:tab w:val="right" w:leader="dot" w:pos="9350"/>
            </w:tabs>
            <w:rPr>
              <w:rFonts w:asciiTheme="minorHAnsi" w:eastAsiaTheme="minorEastAsia" w:hAnsiTheme="minorHAnsi" w:cstheme="minorBidi"/>
              <w:noProof/>
            </w:rPr>
          </w:pPr>
          <w:hyperlink w:anchor="_Toc113363437" w:history="1">
            <w:r w:rsidR="004E5511" w:rsidRPr="004D7033">
              <w:rPr>
                <w:rStyle w:val="Hyperlink"/>
                <w:noProof/>
              </w:rPr>
              <w:t>C.</w:t>
            </w:r>
            <w:r w:rsidR="004E5511">
              <w:rPr>
                <w:rFonts w:asciiTheme="minorHAnsi" w:eastAsiaTheme="minorEastAsia" w:hAnsiTheme="minorHAnsi" w:cstheme="minorBidi"/>
                <w:noProof/>
              </w:rPr>
              <w:tab/>
            </w:r>
            <w:r w:rsidR="004E5511" w:rsidRPr="004D7033">
              <w:rPr>
                <w:rStyle w:val="Hyperlink"/>
                <w:noProof/>
              </w:rPr>
              <w:t>Office Electronics and Furniture</w:t>
            </w:r>
            <w:r w:rsidR="004E5511">
              <w:rPr>
                <w:noProof/>
                <w:webHidden/>
              </w:rPr>
              <w:tab/>
            </w:r>
            <w:r w:rsidR="004E5511">
              <w:rPr>
                <w:noProof/>
                <w:webHidden/>
              </w:rPr>
              <w:fldChar w:fldCharType="begin"/>
            </w:r>
            <w:r w:rsidR="004E5511">
              <w:rPr>
                <w:noProof/>
                <w:webHidden/>
              </w:rPr>
              <w:instrText xml:space="preserve"> PAGEREF _Toc113363437 \h </w:instrText>
            </w:r>
            <w:r w:rsidR="004E5511">
              <w:rPr>
                <w:noProof/>
                <w:webHidden/>
              </w:rPr>
            </w:r>
            <w:r w:rsidR="004E5511">
              <w:rPr>
                <w:noProof/>
                <w:webHidden/>
              </w:rPr>
              <w:fldChar w:fldCharType="separate"/>
            </w:r>
            <w:r w:rsidR="004E5511">
              <w:rPr>
                <w:noProof/>
                <w:webHidden/>
              </w:rPr>
              <w:t>6</w:t>
            </w:r>
            <w:r w:rsidR="004E5511">
              <w:rPr>
                <w:noProof/>
                <w:webHidden/>
              </w:rPr>
              <w:fldChar w:fldCharType="end"/>
            </w:r>
          </w:hyperlink>
        </w:p>
        <w:p w14:paraId="5E9A0715" w14:textId="1E544A39" w:rsidR="004E5511" w:rsidRDefault="00CB2C8A">
          <w:pPr>
            <w:pStyle w:val="TOC1"/>
            <w:tabs>
              <w:tab w:val="left" w:pos="480"/>
              <w:tab w:val="right" w:leader="dot" w:pos="9350"/>
            </w:tabs>
            <w:rPr>
              <w:rFonts w:asciiTheme="minorHAnsi" w:eastAsiaTheme="minorEastAsia" w:hAnsiTheme="minorHAnsi" w:cstheme="minorBidi"/>
              <w:noProof/>
            </w:rPr>
          </w:pPr>
          <w:hyperlink w:anchor="_Toc113363438" w:history="1">
            <w:r w:rsidR="004E5511" w:rsidRPr="004D7033">
              <w:rPr>
                <w:rStyle w:val="Hyperlink"/>
                <w:noProof/>
              </w:rPr>
              <w:t>4.</w:t>
            </w:r>
            <w:r w:rsidR="004E5511">
              <w:rPr>
                <w:rFonts w:asciiTheme="minorHAnsi" w:eastAsiaTheme="minorEastAsia" w:hAnsiTheme="minorHAnsi" w:cstheme="minorBidi"/>
                <w:noProof/>
              </w:rPr>
              <w:tab/>
            </w:r>
            <w:r w:rsidR="004E5511" w:rsidRPr="004D7033">
              <w:rPr>
                <w:rStyle w:val="Hyperlink"/>
                <w:noProof/>
              </w:rPr>
              <w:t>ENVIRONMENTALLY PREFERABLE PURCHASING LANGUAGE</w:t>
            </w:r>
            <w:r w:rsidR="004E5511">
              <w:rPr>
                <w:noProof/>
                <w:webHidden/>
              </w:rPr>
              <w:tab/>
            </w:r>
            <w:r w:rsidR="004E5511">
              <w:rPr>
                <w:noProof/>
                <w:webHidden/>
              </w:rPr>
              <w:fldChar w:fldCharType="begin"/>
            </w:r>
            <w:r w:rsidR="004E5511">
              <w:rPr>
                <w:noProof/>
                <w:webHidden/>
              </w:rPr>
              <w:instrText xml:space="preserve"> PAGEREF _Toc113363438 \h </w:instrText>
            </w:r>
            <w:r w:rsidR="004E5511">
              <w:rPr>
                <w:noProof/>
                <w:webHidden/>
              </w:rPr>
            </w:r>
            <w:r w:rsidR="004E5511">
              <w:rPr>
                <w:noProof/>
                <w:webHidden/>
              </w:rPr>
              <w:fldChar w:fldCharType="separate"/>
            </w:r>
            <w:r w:rsidR="004E5511">
              <w:rPr>
                <w:noProof/>
                <w:webHidden/>
              </w:rPr>
              <w:t>7</w:t>
            </w:r>
            <w:r w:rsidR="004E5511">
              <w:rPr>
                <w:noProof/>
                <w:webHidden/>
              </w:rPr>
              <w:fldChar w:fldCharType="end"/>
            </w:r>
          </w:hyperlink>
        </w:p>
        <w:p w14:paraId="560EAA50" w14:textId="66440030" w:rsidR="004E5511" w:rsidRDefault="00CB2C8A">
          <w:pPr>
            <w:pStyle w:val="TOC2"/>
            <w:tabs>
              <w:tab w:val="left" w:pos="720"/>
              <w:tab w:val="right" w:leader="dot" w:pos="9350"/>
            </w:tabs>
            <w:rPr>
              <w:rFonts w:asciiTheme="minorHAnsi" w:eastAsiaTheme="minorEastAsia" w:hAnsiTheme="minorHAnsi" w:cstheme="minorBidi"/>
              <w:noProof/>
            </w:rPr>
          </w:pPr>
          <w:hyperlink w:anchor="_Toc113363439" w:history="1">
            <w:r w:rsidR="004E5511" w:rsidRPr="004D7033">
              <w:rPr>
                <w:rStyle w:val="Hyperlink"/>
                <w:noProof/>
              </w:rPr>
              <w:t>A.</w:t>
            </w:r>
            <w:r w:rsidR="004E5511">
              <w:rPr>
                <w:rFonts w:asciiTheme="minorHAnsi" w:eastAsiaTheme="minorEastAsia" w:hAnsiTheme="minorHAnsi" w:cstheme="minorBidi"/>
                <w:noProof/>
              </w:rPr>
              <w:tab/>
            </w:r>
            <w:r w:rsidR="004E5511" w:rsidRPr="004D7033">
              <w:rPr>
                <w:rStyle w:val="Hyperlink"/>
                <w:noProof/>
              </w:rPr>
              <w:t>On Environmentally Preferable Purchasing:</w:t>
            </w:r>
            <w:r w:rsidR="004E5511">
              <w:rPr>
                <w:noProof/>
                <w:webHidden/>
              </w:rPr>
              <w:tab/>
            </w:r>
            <w:r w:rsidR="004E5511">
              <w:rPr>
                <w:noProof/>
                <w:webHidden/>
              </w:rPr>
              <w:fldChar w:fldCharType="begin"/>
            </w:r>
            <w:r w:rsidR="004E5511">
              <w:rPr>
                <w:noProof/>
                <w:webHidden/>
              </w:rPr>
              <w:instrText xml:space="preserve"> PAGEREF _Toc113363439 \h </w:instrText>
            </w:r>
            <w:r w:rsidR="004E5511">
              <w:rPr>
                <w:noProof/>
                <w:webHidden/>
              </w:rPr>
            </w:r>
            <w:r w:rsidR="004E5511">
              <w:rPr>
                <w:noProof/>
                <w:webHidden/>
              </w:rPr>
              <w:fldChar w:fldCharType="separate"/>
            </w:r>
            <w:r w:rsidR="004E5511">
              <w:rPr>
                <w:noProof/>
                <w:webHidden/>
              </w:rPr>
              <w:t>7</w:t>
            </w:r>
            <w:r w:rsidR="004E5511">
              <w:rPr>
                <w:noProof/>
                <w:webHidden/>
              </w:rPr>
              <w:fldChar w:fldCharType="end"/>
            </w:r>
          </w:hyperlink>
        </w:p>
        <w:p w14:paraId="0BA8984E" w14:textId="3547AC3D" w:rsidR="004E5511" w:rsidRDefault="00CB2C8A">
          <w:pPr>
            <w:pStyle w:val="TOC2"/>
            <w:tabs>
              <w:tab w:val="left" w:pos="720"/>
              <w:tab w:val="right" w:leader="dot" w:pos="9350"/>
            </w:tabs>
            <w:rPr>
              <w:rFonts w:asciiTheme="minorHAnsi" w:eastAsiaTheme="minorEastAsia" w:hAnsiTheme="minorHAnsi" w:cstheme="minorBidi"/>
              <w:noProof/>
            </w:rPr>
          </w:pPr>
          <w:hyperlink w:anchor="_Toc113363440" w:history="1">
            <w:r w:rsidR="004E5511" w:rsidRPr="004D7033">
              <w:rPr>
                <w:rStyle w:val="Hyperlink"/>
                <w:noProof/>
              </w:rPr>
              <w:t>B.</w:t>
            </w:r>
            <w:r w:rsidR="004E5511">
              <w:rPr>
                <w:rFonts w:asciiTheme="minorHAnsi" w:eastAsiaTheme="minorEastAsia" w:hAnsiTheme="minorHAnsi" w:cstheme="minorBidi"/>
                <w:noProof/>
              </w:rPr>
              <w:tab/>
            </w:r>
            <w:r w:rsidR="004E5511" w:rsidRPr="004D7033">
              <w:rPr>
                <w:rStyle w:val="Hyperlink"/>
                <w:noProof/>
              </w:rPr>
              <w:t>On Maryland’s Green Purchasing Reporting Requirements:</w:t>
            </w:r>
            <w:r w:rsidR="004E5511">
              <w:rPr>
                <w:noProof/>
                <w:webHidden/>
              </w:rPr>
              <w:tab/>
            </w:r>
            <w:r w:rsidR="004E5511">
              <w:rPr>
                <w:noProof/>
                <w:webHidden/>
              </w:rPr>
              <w:fldChar w:fldCharType="begin"/>
            </w:r>
            <w:r w:rsidR="004E5511">
              <w:rPr>
                <w:noProof/>
                <w:webHidden/>
              </w:rPr>
              <w:instrText xml:space="preserve"> PAGEREF _Toc113363440 \h </w:instrText>
            </w:r>
            <w:r w:rsidR="004E5511">
              <w:rPr>
                <w:noProof/>
                <w:webHidden/>
              </w:rPr>
            </w:r>
            <w:r w:rsidR="004E5511">
              <w:rPr>
                <w:noProof/>
                <w:webHidden/>
              </w:rPr>
              <w:fldChar w:fldCharType="separate"/>
            </w:r>
            <w:r w:rsidR="004E5511">
              <w:rPr>
                <w:noProof/>
                <w:webHidden/>
              </w:rPr>
              <w:t>8</w:t>
            </w:r>
            <w:r w:rsidR="004E5511">
              <w:rPr>
                <w:noProof/>
                <w:webHidden/>
              </w:rPr>
              <w:fldChar w:fldCharType="end"/>
            </w:r>
          </w:hyperlink>
        </w:p>
        <w:p w14:paraId="5DE7A89F" w14:textId="48544530" w:rsidR="004E5511" w:rsidRDefault="00CB2C8A">
          <w:pPr>
            <w:pStyle w:val="TOC2"/>
            <w:tabs>
              <w:tab w:val="left" w:pos="720"/>
              <w:tab w:val="right" w:leader="dot" w:pos="9350"/>
            </w:tabs>
            <w:rPr>
              <w:rFonts w:asciiTheme="minorHAnsi" w:eastAsiaTheme="minorEastAsia" w:hAnsiTheme="minorHAnsi" w:cstheme="minorBidi"/>
              <w:noProof/>
            </w:rPr>
          </w:pPr>
          <w:hyperlink w:anchor="_Toc113363441" w:history="1">
            <w:r w:rsidR="004E5511" w:rsidRPr="004D7033">
              <w:rPr>
                <w:rStyle w:val="Hyperlink"/>
                <w:noProof/>
              </w:rPr>
              <w:t>C.</w:t>
            </w:r>
            <w:r w:rsidR="004E5511">
              <w:rPr>
                <w:rFonts w:asciiTheme="minorHAnsi" w:eastAsiaTheme="minorEastAsia" w:hAnsiTheme="minorHAnsi" w:cstheme="minorBidi"/>
                <w:noProof/>
              </w:rPr>
              <w:tab/>
            </w:r>
            <w:r w:rsidR="004E5511" w:rsidRPr="004D7033">
              <w:rPr>
                <w:rStyle w:val="Hyperlink"/>
                <w:noProof/>
              </w:rPr>
              <w:t>On Environmental Claims</w:t>
            </w:r>
            <w:r w:rsidR="004E5511">
              <w:rPr>
                <w:noProof/>
                <w:webHidden/>
              </w:rPr>
              <w:tab/>
            </w:r>
            <w:r w:rsidR="004E5511">
              <w:rPr>
                <w:noProof/>
                <w:webHidden/>
              </w:rPr>
              <w:fldChar w:fldCharType="begin"/>
            </w:r>
            <w:r w:rsidR="004E5511">
              <w:rPr>
                <w:noProof/>
                <w:webHidden/>
              </w:rPr>
              <w:instrText xml:space="preserve"> PAGEREF _Toc113363441 \h </w:instrText>
            </w:r>
            <w:r w:rsidR="004E5511">
              <w:rPr>
                <w:noProof/>
                <w:webHidden/>
              </w:rPr>
            </w:r>
            <w:r w:rsidR="004E5511">
              <w:rPr>
                <w:noProof/>
                <w:webHidden/>
              </w:rPr>
              <w:fldChar w:fldCharType="separate"/>
            </w:r>
            <w:r w:rsidR="004E5511">
              <w:rPr>
                <w:noProof/>
                <w:webHidden/>
              </w:rPr>
              <w:t>8</w:t>
            </w:r>
            <w:r w:rsidR="004E5511">
              <w:rPr>
                <w:noProof/>
                <w:webHidden/>
              </w:rPr>
              <w:fldChar w:fldCharType="end"/>
            </w:r>
          </w:hyperlink>
        </w:p>
        <w:p w14:paraId="03FC11BF" w14:textId="1B3CD61F" w:rsidR="00A4234B" w:rsidRPr="000F5021" w:rsidRDefault="004E5511">
          <w:r>
            <w:rPr>
              <w:b/>
              <w:bCs/>
              <w:noProof/>
            </w:rPr>
            <w:fldChar w:fldCharType="end"/>
          </w:r>
        </w:p>
      </w:sdtContent>
    </w:sdt>
    <w:p w14:paraId="78418002" w14:textId="77777777" w:rsidR="005B0109" w:rsidRPr="00694C4B" w:rsidRDefault="005B0109">
      <w:pPr>
        <w:spacing w:after="160" w:line="259" w:lineRule="auto"/>
        <w:rPr>
          <w:rFonts w:eastAsia="Calibri"/>
        </w:rPr>
      </w:pPr>
    </w:p>
    <w:p w14:paraId="03D8D2B4" w14:textId="77777777" w:rsidR="005B0109" w:rsidRPr="00694C4B" w:rsidRDefault="005B0109">
      <w:pPr>
        <w:spacing w:after="160" w:line="259" w:lineRule="auto"/>
        <w:rPr>
          <w:rFonts w:eastAsia="Calibri"/>
        </w:rPr>
      </w:pPr>
    </w:p>
    <w:p w14:paraId="3017EE2D" w14:textId="77777777" w:rsidR="005B0109" w:rsidRDefault="005B0109">
      <w:pPr>
        <w:spacing w:after="160" w:line="259" w:lineRule="auto"/>
        <w:rPr>
          <w:rFonts w:eastAsia="Calibri"/>
        </w:rPr>
      </w:pPr>
    </w:p>
    <w:p w14:paraId="21190353" w14:textId="77777777" w:rsidR="00CF4864" w:rsidRDefault="00CF4864">
      <w:pPr>
        <w:spacing w:after="160" w:line="259" w:lineRule="auto"/>
        <w:rPr>
          <w:rFonts w:eastAsia="Calibri"/>
        </w:rPr>
      </w:pPr>
    </w:p>
    <w:p w14:paraId="57A14BDC" w14:textId="77777777" w:rsidR="00CF4864" w:rsidRDefault="00CF4864">
      <w:pPr>
        <w:spacing w:after="160" w:line="259" w:lineRule="auto"/>
        <w:rPr>
          <w:rFonts w:eastAsia="Calibri"/>
        </w:rPr>
      </w:pPr>
    </w:p>
    <w:p w14:paraId="61E8266A" w14:textId="77777777" w:rsidR="00CF4864" w:rsidRDefault="00CF4864">
      <w:pPr>
        <w:spacing w:after="160" w:line="259" w:lineRule="auto"/>
        <w:rPr>
          <w:rFonts w:eastAsia="Calibri"/>
        </w:rPr>
      </w:pPr>
    </w:p>
    <w:p w14:paraId="22169523" w14:textId="77777777" w:rsidR="00CF4864" w:rsidRDefault="00CF4864">
      <w:pPr>
        <w:spacing w:after="160" w:line="259" w:lineRule="auto"/>
        <w:rPr>
          <w:rFonts w:eastAsia="Calibri"/>
        </w:rPr>
      </w:pPr>
    </w:p>
    <w:p w14:paraId="57643761" w14:textId="77777777" w:rsidR="00CF4864" w:rsidRDefault="00CF4864">
      <w:pPr>
        <w:spacing w:after="160" w:line="259" w:lineRule="auto"/>
        <w:rPr>
          <w:rFonts w:eastAsia="Calibri"/>
        </w:rPr>
      </w:pPr>
    </w:p>
    <w:p w14:paraId="3AAD7202" w14:textId="77777777" w:rsidR="00CF4864" w:rsidRDefault="00CF4864">
      <w:pPr>
        <w:spacing w:after="160" w:line="259" w:lineRule="auto"/>
        <w:rPr>
          <w:rFonts w:eastAsia="Calibri"/>
        </w:rPr>
      </w:pPr>
    </w:p>
    <w:p w14:paraId="2AFB948A" w14:textId="77777777" w:rsidR="00CF4864" w:rsidRDefault="00CF4864">
      <w:pPr>
        <w:spacing w:after="160" w:line="259" w:lineRule="auto"/>
        <w:rPr>
          <w:rFonts w:eastAsia="Calibri"/>
        </w:rPr>
      </w:pPr>
    </w:p>
    <w:p w14:paraId="107E357F" w14:textId="77777777" w:rsidR="00CF4864" w:rsidRDefault="00CF4864">
      <w:pPr>
        <w:spacing w:after="160" w:line="259" w:lineRule="auto"/>
        <w:rPr>
          <w:rFonts w:eastAsia="Calibri"/>
        </w:rPr>
      </w:pPr>
    </w:p>
    <w:p w14:paraId="54D707ED" w14:textId="77777777" w:rsidR="006C7F81" w:rsidRDefault="006C7F81">
      <w:pPr>
        <w:spacing w:after="160" w:line="259" w:lineRule="auto"/>
        <w:rPr>
          <w:rFonts w:eastAsia="Calibri"/>
        </w:rPr>
      </w:pPr>
    </w:p>
    <w:p w14:paraId="5857F12D" w14:textId="77777777" w:rsidR="006C7F81" w:rsidRDefault="006C7F81">
      <w:pPr>
        <w:spacing w:after="160" w:line="259" w:lineRule="auto"/>
        <w:rPr>
          <w:rFonts w:eastAsia="Calibri"/>
        </w:rPr>
      </w:pPr>
    </w:p>
    <w:p w14:paraId="40CC42A2" w14:textId="77777777" w:rsidR="006C7F81" w:rsidRDefault="006C7F81">
      <w:pPr>
        <w:spacing w:after="160" w:line="259" w:lineRule="auto"/>
        <w:rPr>
          <w:rFonts w:eastAsia="Calibri"/>
        </w:rPr>
      </w:pPr>
    </w:p>
    <w:p w14:paraId="77252148" w14:textId="77777777" w:rsidR="006C7F81" w:rsidRDefault="006C7F81">
      <w:pPr>
        <w:spacing w:after="160" w:line="259" w:lineRule="auto"/>
        <w:rPr>
          <w:rFonts w:eastAsia="Calibri"/>
        </w:rPr>
      </w:pPr>
    </w:p>
    <w:p w14:paraId="695D470A" w14:textId="77777777" w:rsidR="00BD7046" w:rsidRPr="007C1E33" w:rsidRDefault="00BD7046" w:rsidP="00851868">
      <w:pPr>
        <w:pStyle w:val="Heading1"/>
        <w:spacing w:before="240"/>
      </w:pPr>
      <w:bookmarkStart w:id="1" w:name="_Toc113363432"/>
      <w:r w:rsidRPr="00BD7046">
        <w:lastRenderedPageBreak/>
        <w:t>ENVIRONMENTALLY PREFERABLE PURCHASING: LEGISLATION, STATUTES, AND REGULATIONS</w:t>
      </w:r>
      <w:bookmarkEnd w:id="1"/>
    </w:p>
    <w:p w14:paraId="3A7B2FDD" w14:textId="77777777" w:rsidR="005B0109" w:rsidRPr="00694C4B" w:rsidRDefault="00930530" w:rsidP="00BD7046">
      <w:pPr>
        <w:spacing w:line="259" w:lineRule="auto"/>
        <w:ind w:left="-432"/>
        <w:jc w:val="center"/>
        <w:rPr>
          <w:rFonts w:eastAsia="Calibri"/>
          <w:b/>
          <w:i/>
          <w:sz w:val="28"/>
          <w:szCs w:val="28"/>
        </w:rPr>
      </w:pPr>
      <w:r w:rsidRPr="00694C4B">
        <w:rPr>
          <w:rFonts w:eastAsia="Calibri"/>
          <w:b/>
          <w:i/>
          <w:sz w:val="28"/>
          <w:szCs w:val="28"/>
        </w:rPr>
        <w:t xml:space="preserve">For Procurement Officers and Agencies </w:t>
      </w:r>
    </w:p>
    <w:p w14:paraId="22E7F3F9" w14:textId="77777777" w:rsidR="005B0109" w:rsidRPr="00694C4B" w:rsidRDefault="005B0109">
      <w:pPr>
        <w:spacing w:line="259" w:lineRule="auto"/>
        <w:jc w:val="center"/>
        <w:rPr>
          <w:rFonts w:eastAsia="Calibri"/>
          <w:b/>
          <w:i/>
        </w:rPr>
      </w:pPr>
    </w:p>
    <w:p w14:paraId="37876442" w14:textId="77777777" w:rsidR="005B0109" w:rsidRPr="001B7C78" w:rsidRDefault="00930530" w:rsidP="00BD7046">
      <w:pPr>
        <w:spacing w:line="259" w:lineRule="auto"/>
        <w:ind w:left="-72"/>
        <w:rPr>
          <w:rFonts w:eastAsia="Calibri"/>
          <w:sz w:val="22"/>
          <w:szCs w:val="22"/>
        </w:rPr>
      </w:pPr>
      <w:r w:rsidRPr="001B7C78">
        <w:rPr>
          <w:rFonts w:eastAsia="Calibri"/>
          <w:b/>
          <w:color w:val="000000" w:themeColor="text1"/>
          <w:sz w:val="22"/>
          <w:szCs w:val="22"/>
        </w:rPr>
        <w:t>Environmentally Preferable Purchasin</w:t>
      </w:r>
      <w:r w:rsidRPr="001B7C78">
        <w:rPr>
          <w:rFonts w:eastAsia="Calibri"/>
          <w:b/>
          <w:color w:val="161816"/>
          <w:sz w:val="22"/>
          <w:szCs w:val="22"/>
        </w:rPr>
        <w:t xml:space="preserve">g </w:t>
      </w:r>
      <w:r w:rsidRPr="001B7C78">
        <w:rPr>
          <w:rFonts w:eastAsia="Calibri"/>
          <w:color w:val="161816"/>
          <w:sz w:val="22"/>
          <w:szCs w:val="22"/>
        </w:rPr>
        <w:t xml:space="preserve">(COMAR: </w:t>
      </w:r>
      <w:hyperlink r:id="rId10">
        <w:r w:rsidRPr="001B7C78">
          <w:rPr>
            <w:rFonts w:eastAsia="Calibri"/>
            <w:color w:val="0563C1"/>
            <w:sz w:val="22"/>
            <w:szCs w:val="22"/>
            <w:u w:val="single"/>
          </w:rPr>
          <w:t>21.11.07.09</w:t>
        </w:r>
      </w:hyperlink>
      <w:r w:rsidRPr="001B7C78">
        <w:rPr>
          <w:rFonts w:eastAsia="Calibri"/>
          <w:color w:val="0563C1"/>
          <w:sz w:val="22"/>
          <w:szCs w:val="22"/>
          <w:u w:val="single"/>
        </w:rPr>
        <w:t>)</w:t>
      </w:r>
    </w:p>
    <w:p w14:paraId="601E18C8" w14:textId="77777777" w:rsidR="005B0109" w:rsidRPr="001B7C78" w:rsidRDefault="00930530" w:rsidP="00BD7046">
      <w:pPr>
        <w:spacing w:line="259" w:lineRule="auto"/>
        <w:ind w:left="-72"/>
        <w:rPr>
          <w:rFonts w:eastAsia="Calibri"/>
          <w:color w:val="000000" w:themeColor="text1"/>
          <w:sz w:val="22"/>
          <w:szCs w:val="22"/>
        </w:rPr>
      </w:pPr>
      <w:r w:rsidRPr="001B7C78">
        <w:rPr>
          <w:rFonts w:eastAsia="Calibri"/>
          <w:color w:val="000000" w:themeColor="text1"/>
          <w:sz w:val="22"/>
          <w:szCs w:val="22"/>
        </w:rPr>
        <w:t>“All procurement agencies shall purchase environmentally preferable products and services unless purchasing environmentally preferable products and services would limit or supersede any requirements under any provision of law or result in the purchase of products and services that:</w:t>
      </w:r>
    </w:p>
    <w:p w14:paraId="7DA9A491" w14:textId="77777777" w:rsidR="005B0109" w:rsidRPr="001B7C78" w:rsidRDefault="00930530" w:rsidP="007547F8">
      <w:pPr>
        <w:shd w:val="clear" w:color="auto" w:fill="FFFFFF"/>
        <w:ind w:left="288"/>
        <w:rPr>
          <w:color w:val="000000" w:themeColor="text1"/>
        </w:rPr>
      </w:pPr>
      <w:r w:rsidRPr="001B7C78">
        <w:rPr>
          <w:rFonts w:eastAsia="Calibri"/>
          <w:color w:val="000000" w:themeColor="text1"/>
          <w:sz w:val="22"/>
          <w:szCs w:val="22"/>
        </w:rPr>
        <w:t xml:space="preserve">(1) Do not perform adequately for the intended </w:t>
      </w:r>
      <w:proofErr w:type="gramStart"/>
      <w:r w:rsidRPr="001B7C78">
        <w:rPr>
          <w:rFonts w:eastAsia="Calibri"/>
          <w:color w:val="000000" w:themeColor="text1"/>
          <w:sz w:val="22"/>
          <w:szCs w:val="22"/>
        </w:rPr>
        <w:t>use;</w:t>
      </w:r>
      <w:proofErr w:type="gramEnd"/>
    </w:p>
    <w:p w14:paraId="701B4ECD" w14:textId="77777777" w:rsidR="005B0109" w:rsidRPr="001B7C78" w:rsidRDefault="00930530" w:rsidP="007547F8">
      <w:pPr>
        <w:shd w:val="clear" w:color="auto" w:fill="FFFFFF"/>
        <w:ind w:left="288"/>
        <w:rPr>
          <w:color w:val="000000" w:themeColor="text1"/>
        </w:rPr>
      </w:pPr>
      <w:r w:rsidRPr="001B7C78">
        <w:rPr>
          <w:rFonts w:eastAsia="Calibri"/>
          <w:color w:val="000000" w:themeColor="text1"/>
          <w:sz w:val="22"/>
          <w:szCs w:val="22"/>
        </w:rPr>
        <w:t>(2) Exclude adequate competition; or</w:t>
      </w:r>
    </w:p>
    <w:p w14:paraId="62AAFFB0" w14:textId="77777777" w:rsidR="005B0109" w:rsidRPr="001B7C78" w:rsidRDefault="00930530" w:rsidP="007547F8">
      <w:pPr>
        <w:spacing w:line="259" w:lineRule="auto"/>
        <w:ind w:left="288"/>
        <w:rPr>
          <w:rFonts w:eastAsia="Calibri"/>
          <w:b/>
          <w:color w:val="000000" w:themeColor="text1"/>
          <w:sz w:val="22"/>
          <w:szCs w:val="22"/>
        </w:rPr>
      </w:pPr>
      <w:r w:rsidRPr="001B7C78">
        <w:rPr>
          <w:rFonts w:eastAsia="Calibri"/>
          <w:color w:val="000000" w:themeColor="text1"/>
          <w:sz w:val="22"/>
          <w:szCs w:val="22"/>
        </w:rPr>
        <w:t xml:space="preserve">(3) Are not available at a reasonable price in a reasonable </w:t>
      </w:r>
      <w:proofErr w:type="gramStart"/>
      <w:r w:rsidRPr="001B7C78">
        <w:rPr>
          <w:rFonts w:eastAsia="Calibri"/>
          <w:color w:val="000000" w:themeColor="text1"/>
          <w:sz w:val="22"/>
          <w:szCs w:val="22"/>
        </w:rPr>
        <w:t>period of time</w:t>
      </w:r>
      <w:proofErr w:type="gramEnd"/>
      <w:r w:rsidRPr="001B7C78">
        <w:rPr>
          <w:rFonts w:eastAsia="Calibri"/>
          <w:color w:val="000000" w:themeColor="text1"/>
          <w:sz w:val="22"/>
          <w:szCs w:val="22"/>
        </w:rPr>
        <w:t>.”</w:t>
      </w:r>
    </w:p>
    <w:p w14:paraId="551FEE75" w14:textId="77777777" w:rsidR="005B0109" w:rsidRPr="001B7C78" w:rsidRDefault="005B0109">
      <w:pPr>
        <w:ind w:left="360"/>
        <w:rPr>
          <w:rFonts w:eastAsia="Calibri"/>
          <w:b/>
          <w:color w:val="222222"/>
          <w:sz w:val="22"/>
          <w:szCs w:val="22"/>
        </w:rPr>
      </w:pPr>
    </w:p>
    <w:p w14:paraId="450BF172" w14:textId="77777777" w:rsidR="005B0109" w:rsidRPr="001B7C78" w:rsidRDefault="00930530" w:rsidP="00637E65">
      <w:pPr>
        <w:ind w:left="-72"/>
        <w:rPr>
          <w:rFonts w:eastAsia="Calibri"/>
          <w:color w:val="222222"/>
          <w:sz w:val="22"/>
          <w:szCs w:val="22"/>
        </w:rPr>
      </w:pPr>
      <w:r w:rsidRPr="001B7C78">
        <w:rPr>
          <w:rFonts w:eastAsia="Calibri"/>
          <w:b/>
          <w:color w:val="000000" w:themeColor="text1"/>
          <w:sz w:val="22"/>
          <w:szCs w:val="22"/>
        </w:rPr>
        <w:t xml:space="preserve">Mercury and Products that Contain Mercury </w:t>
      </w:r>
      <w:r w:rsidRPr="001B7C78">
        <w:rPr>
          <w:rFonts w:eastAsia="Calibri"/>
          <w:color w:val="222222"/>
          <w:sz w:val="22"/>
          <w:szCs w:val="22"/>
        </w:rPr>
        <w:t xml:space="preserve">(COMAR: </w:t>
      </w:r>
      <w:hyperlink r:id="rId11">
        <w:r w:rsidRPr="001B7C78">
          <w:rPr>
            <w:rFonts w:eastAsia="Calibri"/>
            <w:color w:val="0070C0"/>
            <w:sz w:val="22"/>
            <w:szCs w:val="22"/>
            <w:u w:val="single"/>
          </w:rPr>
          <w:t>21.11.07.07</w:t>
        </w:r>
      </w:hyperlink>
      <w:r w:rsidRPr="001B7C78">
        <w:rPr>
          <w:rFonts w:eastAsia="Calibri"/>
          <w:color w:val="222222"/>
          <w:sz w:val="22"/>
          <w:szCs w:val="22"/>
        </w:rPr>
        <w:t>)</w:t>
      </w:r>
    </w:p>
    <w:p w14:paraId="763A6E50" w14:textId="58E2BE8E" w:rsidR="005B0109" w:rsidRPr="001B7C78" w:rsidRDefault="00930530" w:rsidP="00637E65">
      <w:pPr>
        <w:ind w:left="-72"/>
        <w:rPr>
          <w:rFonts w:eastAsia="Calibri"/>
          <w:color w:val="000000" w:themeColor="text1"/>
          <w:sz w:val="22"/>
          <w:szCs w:val="22"/>
        </w:rPr>
      </w:pPr>
      <w:r w:rsidRPr="001B7C78">
        <w:rPr>
          <w:rFonts w:eastAsia="Calibri"/>
          <w:color w:val="000000" w:themeColor="text1"/>
          <w:sz w:val="22"/>
          <w:szCs w:val="22"/>
        </w:rPr>
        <w:t xml:space="preserve">“All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 </w:t>
      </w:r>
    </w:p>
    <w:p w14:paraId="0DB5391D" w14:textId="46B518A8" w:rsidR="00FC78D6" w:rsidRDefault="00FC78D6" w:rsidP="00637E65">
      <w:pPr>
        <w:ind w:left="-72"/>
        <w:rPr>
          <w:rFonts w:eastAsia="Calibri"/>
          <w:color w:val="222222"/>
        </w:rPr>
      </w:pPr>
    </w:p>
    <w:p w14:paraId="2C7FC4A4" w14:textId="73E1011B" w:rsidR="00FC78D6" w:rsidRPr="001B7C78" w:rsidRDefault="00FC78D6" w:rsidP="00637E65">
      <w:pPr>
        <w:ind w:left="-72"/>
        <w:rPr>
          <w:rFonts w:eastAsia="Calibri"/>
          <w:color w:val="222222"/>
          <w:sz w:val="22"/>
          <w:szCs w:val="22"/>
        </w:rPr>
      </w:pPr>
      <w:r w:rsidRPr="001B7C78">
        <w:rPr>
          <w:rFonts w:eastAsia="Calibri"/>
          <w:b/>
          <w:bCs/>
          <w:color w:val="000000" w:themeColor="text1"/>
          <w:sz w:val="22"/>
          <w:szCs w:val="22"/>
        </w:rPr>
        <w:t xml:space="preserve">Recycled Content Requirements for Paper Products </w:t>
      </w:r>
      <w:r w:rsidRPr="001B7C78">
        <w:rPr>
          <w:rFonts w:eastAsia="Calibri"/>
          <w:color w:val="222222"/>
          <w:sz w:val="22"/>
          <w:szCs w:val="22"/>
        </w:rPr>
        <w:t xml:space="preserve">(State Finance and Procurement Article </w:t>
      </w:r>
      <w:hyperlink r:id="rId12" w:history="1">
        <w:r w:rsidR="001B7C78" w:rsidRPr="001B7C78">
          <w:rPr>
            <w:rStyle w:val="Hyperlink"/>
            <w:rFonts w:eastAsia="Calibri"/>
            <w:sz w:val="22"/>
            <w:szCs w:val="22"/>
          </w:rPr>
          <w:t>§14–402</w:t>
        </w:r>
      </w:hyperlink>
      <w:r w:rsidR="001B7C78" w:rsidRPr="001B7C78">
        <w:rPr>
          <w:rFonts w:eastAsia="Calibri"/>
          <w:color w:val="222222"/>
          <w:sz w:val="22"/>
          <w:szCs w:val="22"/>
        </w:rPr>
        <w:t xml:space="preserve">) </w:t>
      </w:r>
    </w:p>
    <w:p w14:paraId="19F456E2" w14:textId="105D6E30" w:rsidR="001B7C78" w:rsidRPr="001B7C78" w:rsidRDefault="001B7C78" w:rsidP="00637E65">
      <w:pPr>
        <w:ind w:left="-72"/>
        <w:rPr>
          <w:rFonts w:eastAsia="Calibri"/>
          <w:color w:val="222222"/>
          <w:sz w:val="22"/>
          <w:szCs w:val="22"/>
        </w:rPr>
      </w:pPr>
      <w:r w:rsidRPr="001B7C78">
        <w:rPr>
          <w:color w:val="000000"/>
          <w:sz w:val="22"/>
          <w:szCs w:val="22"/>
        </w:rPr>
        <w:t xml:space="preserve">Paper and paper products purchased by the State must contain at least 80% post-consumer recycled content. If 80% </w:t>
      </w:r>
      <w:r>
        <w:rPr>
          <w:color w:val="000000"/>
          <w:sz w:val="22"/>
          <w:szCs w:val="22"/>
        </w:rPr>
        <w:t xml:space="preserve">post-consumer recycled content paper </w:t>
      </w:r>
      <w:r w:rsidRPr="001B7C78">
        <w:rPr>
          <w:color w:val="000000"/>
          <w:sz w:val="22"/>
          <w:szCs w:val="22"/>
        </w:rPr>
        <w:t>is not available, purchases must</w:t>
      </w:r>
      <w:r>
        <w:rPr>
          <w:color w:val="000000"/>
          <w:sz w:val="22"/>
          <w:szCs w:val="22"/>
        </w:rPr>
        <w:t xml:space="preserve">, at a minimum, </w:t>
      </w:r>
      <w:r w:rsidRPr="001B7C78">
        <w:rPr>
          <w:color w:val="000000"/>
          <w:sz w:val="22"/>
          <w:szCs w:val="22"/>
        </w:rPr>
        <w:t xml:space="preserve">comply with </w:t>
      </w:r>
      <w:r w:rsidR="006249D5">
        <w:rPr>
          <w:color w:val="000000"/>
          <w:sz w:val="22"/>
          <w:szCs w:val="22"/>
        </w:rPr>
        <w:t>the Environmental Protection Agency’s (</w:t>
      </w:r>
      <w:r w:rsidRPr="001B7C78">
        <w:rPr>
          <w:color w:val="000000"/>
          <w:sz w:val="22"/>
          <w:szCs w:val="22"/>
        </w:rPr>
        <w:t>EPA</w:t>
      </w:r>
      <w:r w:rsidR="006249D5">
        <w:rPr>
          <w:color w:val="000000"/>
          <w:sz w:val="22"/>
          <w:szCs w:val="22"/>
        </w:rPr>
        <w:t>)</w:t>
      </w:r>
      <w:r w:rsidRPr="001B7C78">
        <w:rPr>
          <w:color w:val="000000"/>
          <w:sz w:val="22"/>
          <w:szCs w:val="22"/>
        </w:rPr>
        <w:t xml:space="preserve"> Comprehensive Procurement </w:t>
      </w:r>
      <w:r w:rsidR="006249D5">
        <w:rPr>
          <w:color w:val="000000"/>
          <w:sz w:val="22"/>
          <w:szCs w:val="22"/>
        </w:rPr>
        <w:t>guideline for federal procurement of paper and paper products containing recovered materials (40 C.F.R. Part 247)</w:t>
      </w:r>
      <w:r w:rsidRPr="001B7C78">
        <w:rPr>
          <w:color w:val="000000"/>
          <w:sz w:val="22"/>
          <w:szCs w:val="22"/>
        </w:rPr>
        <w:t>.</w:t>
      </w:r>
    </w:p>
    <w:p w14:paraId="3AA6F357" w14:textId="77777777" w:rsidR="005B0109" w:rsidRPr="00694C4B" w:rsidRDefault="005B0109">
      <w:pPr>
        <w:jc w:val="center"/>
        <w:rPr>
          <w:rFonts w:eastAsia="Calibri"/>
          <w:color w:val="222222"/>
        </w:rPr>
      </w:pPr>
    </w:p>
    <w:p w14:paraId="31D2293F" w14:textId="77777777" w:rsidR="005B0109" w:rsidRPr="00694C4B" w:rsidRDefault="00930530" w:rsidP="00BD7046">
      <w:pPr>
        <w:spacing w:after="160" w:line="259" w:lineRule="auto"/>
        <w:ind w:left="-432"/>
        <w:jc w:val="center"/>
        <w:rPr>
          <w:rFonts w:eastAsia="Calibri"/>
          <w:color w:val="222222"/>
        </w:rPr>
      </w:pPr>
      <w:r w:rsidRPr="00694C4B">
        <w:rPr>
          <w:rFonts w:eastAsia="Calibri"/>
          <w:b/>
          <w:i/>
          <w:color w:val="222222"/>
          <w:sz w:val="28"/>
          <w:szCs w:val="28"/>
        </w:rPr>
        <w:t xml:space="preserve">For </w:t>
      </w:r>
      <w:r w:rsidR="007C1E33">
        <w:rPr>
          <w:rFonts w:eastAsia="Calibri"/>
          <w:b/>
          <w:i/>
          <w:color w:val="222222"/>
          <w:sz w:val="28"/>
          <w:szCs w:val="28"/>
        </w:rPr>
        <w:t>Contractors</w:t>
      </w:r>
      <w:r w:rsidRPr="00694C4B">
        <w:rPr>
          <w:rFonts w:eastAsia="Calibri"/>
          <w:b/>
          <w:i/>
          <w:color w:val="222222"/>
          <w:sz w:val="28"/>
          <w:szCs w:val="28"/>
        </w:rPr>
        <w:t>, Bidders, and Offerors</w:t>
      </w:r>
      <w:r w:rsidRPr="00694C4B">
        <w:rPr>
          <w:rFonts w:eastAsia="Calibri"/>
          <w:color w:val="222222"/>
        </w:rPr>
        <w:t xml:space="preserve"> </w:t>
      </w:r>
    </w:p>
    <w:p w14:paraId="66852B27" w14:textId="77777777" w:rsidR="005B0109" w:rsidRPr="00FC78D6" w:rsidRDefault="00930530" w:rsidP="00FC78D6">
      <w:pPr>
        <w:spacing w:before="240" w:line="259" w:lineRule="auto"/>
        <w:rPr>
          <w:rFonts w:eastAsia="Calibri"/>
          <w:b/>
          <w:color w:val="000000" w:themeColor="text1"/>
          <w:sz w:val="22"/>
          <w:szCs w:val="22"/>
        </w:rPr>
      </w:pPr>
      <w:r w:rsidRPr="00FC78D6">
        <w:rPr>
          <w:rFonts w:eastAsia="Calibri"/>
          <w:b/>
          <w:color w:val="000000" w:themeColor="text1"/>
          <w:sz w:val="22"/>
          <w:szCs w:val="22"/>
        </w:rPr>
        <w:t xml:space="preserve">Verifying Environmental Claims </w:t>
      </w:r>
      <w:r w:rsidRPr="00FC78D6">
        <w:rPr>
          <w:rFonts w:eastAsia="Calibri"/>
          <w:color w:val="000000" w:themeColor="text1"/>
          <w:sz w:val="22"/>
          <w:szCs w:val="22"/>
        </w:rPr>
        <w:t>(State Finance and Procurement Article</w:t>
      </w:r>
      <w:hyperlink r:id="rId13">
        <w:r w:rsidRPr="00FC78D6">
          <w:rPr>
            <w:rFonts w:eastAsia="Calibri"/>
            <w:color w:val="000000" w:themeColor="text1"/>
            <w:sz w:val="22"/>
            <w:szCs w:val="22"/>
          </w:rPr>
          <w:t xml:space="preserve"> </w:t>
        </w:r>
      </w:hyperlink>
      <w:hyperlink r:id="rId14">
        <w:r w:rsidRPr="00FC78D6">
          <w:rPr>
            <w:rFonts w:eastAsia="Calibri"/>
            <w:color w:val="0070C0"/>
            <w:sz w:val="22"/>
            <w:szCs w:val="22"/>
            <w:u w:val="single"/>
          </w:rPr>
          <w:t>§14–410</w:t>
        </w:r>
      </w:hyperlink>
      <w:r w:rsidRPr="00FC78D6">
        <w:rPr>
          <w:rFonts w:eastAsia="Calibri"/>
          <w:color w:val="000000" w:themeColor="text1"/>
          <w:sz w:val="22"/>
          <w:szCs w:val="22"/>
        </w:rPr>
        <w:t xml:space="preserve">) </w:t>
      </w:r>
    </w:p>
    <w:p w14:paraId="1DD56C22" w14:textId="6B58F24A" w:rsidR="005B0109" w:rsidRPr="00FC78D6" w:rsidRDefault="00930530" w:rsidP="00FC78D6">
      <w:pPr>
        <w:rPr>
          <w:rFonts w:eastAsia="Calibri"/>
          <w:color w:val="000000" w:themeColor="text1"/>
          <w:sz w:val="22"/>
          <w:szCs w:val="22"/>
        </w:rPr>
      </w:pPr>
      <w:r w:rsidRPr="00FC78D6">
        <w:rPr>
          <w:rFonts w:eastAsia="Calibri"/>
          <w:color w:val="000000" w:themeColor="text1"/>
          <w:sz w:val="22"/>
          <w:szCs w:val="22"/>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402BB109" w14:textId="13ECD83A" w:rsidR="00FC78D6" w:rsidRPr="00FC78D6" w:rsidRDefault="00FC78D6" w:rsidP="007547F8">
      <w:pPr>
        <w:ind w:left="-72"/>
        <w:rPr>
          <w:rFonts w:eastAsia="Calibri"/>
          <w:color w:val="000000" w:themeColor="text1"/>
          <w:sz w:val="22"/>
          <w:szCs w:val="22"/>
        </w:rPr>
      </w:pPr>
    </w:p>
    <w:p w14:paraId="6BAF3588" w14:textId="78EA9D78" w:rsidR="00FC78D6" w:rsidRPr="00FC78D6" w:rsidRDefault="00FC78D6" w:rsidP="00FC78D6">
      <w:pPr>
        <w:pStyle w:val="BodyText"/>
        <w:kinsoku w:val="0"/>
        <w:overflowPunct w:val="0"/>
        <w:rPr>
          <w:color w:val="000000" w:themeColor="text1"/>
          <w:spacing w:val="-2"/>
        </w:rPr>
      </w:pPr>
      <w:r w:rsidRPr="00FC78D6">
        <w:rPr>
          <w:b/>
          <w:bCs/>
          <w:color w:val="000000" w:themeColor="text1"/>
        </w:rPr>
        <w:t>Limitations</w:t>
      </w:r>
      <w:r w:rsidRPr="00FC78D6">
        <w:rPr>
          <w:b/>
          <w:bCs/>
          <w:color w:val="000000" w:themeColor="text1"/>
          <w:spacing w:val="-7"/>
        </w:rPr>
        <w:t xml:space="preserve"> </w:t>
      </w:r>
      <w:r w:rsidRPr="00FC78D6">
        <w:rPr>
          <w:b/>
          <w:bCs/>
          <w:color w:val="000000" w:themeColor="text1"/>
        </w:rPr>
        <w:t>on</w:t>
      </w:r>
      <w:r w:rsidRPr="00FC78D6">
        <w:rPr>
          <w:b/>
          <w:bCs/>
          <w:color w:val="000000" w:themeColor="text1"/>
          <w:spacing w:val="-9"/>
        </w:rPr>
        <w:t xml:space="preserve"> </w:t>
      </w:r>
      <w:r w:rsidRPr="00FC78D6">
        <w:rPr>
          <w:b/>
          <w:bCs/>
          <w:color w:val="000000" w:themeColor="text1"/>
        </w:rPr>
        <w:t>Hazardous</w:t>
      </w:r>
      <w:r w:rsidRPr="00FC78D6">
        <w:rPr>
          <w:b/>
          <w:bCs/>
          <w:color w:val="000000" w:themeColor="text1"/>
          <w:spacing w:val="-6"/>
        </w:rPr>
        <w:t xml:space="preserve"> </w:t>
      </w:r>
      <w:r w:rsidRPr="00FC78D6">
        <w:rPr>
          <w:b/>
          <w:bCs/>
          <w:color w:val="000000" w:themeColor="text1"/>
        </w:rPr>
        <w:t>Substances</w:t>
      </w:r>
      <w:r w:rsidRPr="00FC78D6">
        <w:rPr>
          <w:b/>
          <w:bCs/>
          <w:color w:val="000000" w:themeColor="text1"/>
          <w:spacing w:val="-7"/>
        </w:rPr>
        <w:t xml:space="preserve"> </w:t>
      </w:r>
      <w:r w:rsidRPr="00FC78D6">
        <w:rPr>
          <w:color w:val="000000" w:themeColor="text1"/>
        </w:rPr>
        <w:t>(Environment</w:t>
      </w:r>
      <w:r w:rsidRPr="00FC78D6">
        <w:rPr>
          <w:color w:val="000000" w:themeColor="text1"/>
          <w:spacing w:val="-6"/>
        </w:rPr>
        <w:t xml:space="preserve"> </w:t>
      </w:r>
      <w:r w:rsidRPr="00FC78D6">
        <w:rPr>
          <w:color w:val="000000" w:themeColor="text1"/>
        </w:rPr>
        <w:t>Article</w:t>
      </w:r>
      <w:r w:rsidRPr="00FC78D6">
        <w:rPr>
          <w:color w:val="000000" w:themeColor="text1"/>
          <w:spacing w:val="-4"/>
        </w:rPr>
        <w:t xml:space="preserve"> </w:t>
      </w:r>
      <w:hyperlink r:id="rId15" w:history="1">
        <w:r w:rsidR="00791FC7">
          <w:rPr>
            <w:rStyle w:val="Hyperlink"/>
            <w:spacing w:val="-2"/>
          </w:rPr>
          <w:t>§6–1202-1202.1</w:t>
        </w:r>
      </w:hyperlink>
      <w:r w:rsidRPr="00FC78D6">
        <w:rPr>
          <w:color w:val="000000" w:themeColor="text1"/>
          <w:spacing w:val="-2"/>
        </w:rPr>
        <w:t>)</w:t>
      </w:r>
    </w:p>
    <w:p w14:paraId="3BA584B6" w14:textId="049E3EA4" w:rsidR="00FC78D6" w:rsidRPr="00FC78D6" w:rsidRDefault="00FC78D6" w:rsidP="00FC78D6">
      <w:pPr>
        <w:pStyle w:val="BodyText"/>
        <w:kinsoku w:val="0"/>
        <w:overflowPunct w:val="0"/>
        <w:spacing w:before="20" w:line="261" w:lineRule="auto"/>
        <w:ind w:right="906"/>
        <w:rPr>
          <w:color w:val="000000" w:themeColor="text1"/>
        </w:rPr>
      </w:pPr>
      <w:r w:rsidRPr="00FC78D6">
        <w:rPr>
          <w:color w:val="000000" w:themeColor="text1"/>
        </w:rPr>
        <w:t>A</w:t>
      </w:r>
      <w:r w:rsidRPr="00FC78D6">
        <w:rPr>
          <w:color w:val="000000" w:themeColor="text1"/>
          <w:spacing w:val="-3"/>
        </w:rPr>
        <w:t xml:space="preserve"> </w:t>
      </w:r>
      <w:r w:rsidRPr="00FC78D6">
        <w:rPr>
          <w:color w:val="000000" w:themeColor="text1"/>
        </w:rPr>
        <w:t>person</w:t>
      </w:r>
      <w:r w:rsidRPr="00FC78D6">
        <w:rPr>
          <w:color w:val="000000" w:themeColor="text1"/>
          <w:spacing w:val="-2"/>
        </w:rPr>
        <w:t xml:space="preserve"> </w:t>
      </w:r>
      <w:r w:rsidRPr="00FC78D6">
        <w:rPr>
          <w:color w:val="000000" w:themeColor="text1"/>
        </w:rPr>
        <w:t>may</w:t>
      </w:r>
      <w:r w:rsidRPr="00FC78D6">
        <w:rPr>
          <w:color w:val="000000" w:themeColor="text1"/>
          <w:spacing w:val="-4"/>
        </w:rPr>
        <w:t xml:space="preserve"> </w:t>
      </w:r>
      <w:r w:rsidRPr="00FC78D6">
        <w:rPr>
          <w:color w:val="000000" w:themeColor="text1"/>
        </w:rPr>
        <w:t>not</w:t>
      </w:r>
      <w:r w:rsidRPr="00FC78D6">
        <w:rPr>
          <w:color w:val="000000" w:themeColor="text1"/>
          <w:spacing w:val="-1"/>
        </w:rPr>
        <w:t xml:space="preserve"> </w:t>
      </w:r>
      <w:r w:rsidRPr="00FC78D6">
        <w:rPr>
          <w:color w:val="000000" w:themeColor="text1"/>
        </w:rPr>
        <w:t>manufacture,</w:t>
      </w:r>
      <w:r w:rsidRPr="00FC78D6">
        <w:rPr>
          <w:color w:val="000000" w:themeColor="text1"/>
          <w:spacing w:val="-2"/>
        </w:rPr>
        <w:t xml:space="preserve"> </w:t>
      </w:r>
      <w:r w:rsidRPr="00FC78D6">
        <w:rPr>
          <w:color w:val="000000" w:themeColor="text1"/>
        </w:rPr>
        <w:t>process,</w:t>
      </w:r>
      <w:r w:rsidRPr="00FC78D6">
        <w:rPr>
          <w:color w:val="000000" w:themeColor="text1"/>
          <w:spacing w:val="-5"/>
        </w:rPr>
        <w:t xml:space="preserve"> </w:t>
      </w:r>
      <w:r w:rsidRPr="00FC78D6">
        <w:rPr>
          <w:color w:val="000000" w:themeColor="text1"/>
        </w:rPr>
        <w:t>sell,</w:t>
      </w:r>
      <w:r w:rsidRPr="00FC78D6">
        <w:rPr>
          <w:color w:val="000000" w:themeColor="text1"/>
          <w:spacing w:val="-2"/>
        </w:rPr>
        <w:t xml:space="preserve"> </w:t>
      </w:r>
      <w:r w:rsidRPr="00FC78D6">
        <w:rPr>
          <w:color w:val="000000" w:themeColor="text1"/>
        </w:rPr>
        <w:t>or</w:t>
      </w:r>
      <w:r w:rsidRPr="00FC78D6">
        <w:rPr>
          <w:color w:val="000000" w:themeColor="text1"/>
          <w:spacing w:val="-2"/>
        </w:rPr>
        <w:t xml:space="preserve"> </w:t>
      </w:r>
      <w:r w:rsidRPr="00FC78D6">
        <w:rPr>
          <w:color w:val="000000" w:themeColor="text1"/>
        </w:rPr>
        <w:t>distribute</w:t>
      </w:r>
      <w:r w:rsidRPr="00FC78D6">
        <w:rPr>
          <w:color w:val="000000" w:themeColor="text1"/>
          <w:spacing w:val="-4"/>
        </w:rPr>
        <w:t xml:space="preserve"> </w:t>
      </w:r>
      <w:r w:rsidRPr="00FC78D6">
        <w:rPr>
          <w:color w:val="000000" w:themeColor="text1"/>
        </w:rPr>
        <w:t>in</w:t>
      </w:r>
      <w:r w:rsidRPr="00FC78D6">
        <w:rPr>
          <w:color w:val="000000" w:themeColor="text1"/>
          <w:spacing w:val="-5"/>
        </w:rPr>
        <w:t xml:space="preserve"> </w:t>
      </w:r>
      <w:r w:rsidRPr="00FC78D6">
        <w:rPr>
          <w:color w:val="000000" w:themeColor="text1"/>
        </w:rPr>
        <w:t>the</w:t>
      </w:r>
      <w:r w:rsidRPr="00FC78D6">
        <w:rPr>
          <w:color w:val="000000" w:themeColor="text1"/>
          <w:spacing w:val="-2"/>
        </w:rPr>
        <w:t xml:space="preserve"> </w:t>
      </w:r>
      <w:r w:rsidRPr="00FC78D6">
        <w:rPr>
          <w:color w:val="000000" w:themeColor="text1"/>
        </w:rPr>
        <w:t>State</w:t>
      </w:r>
      <w:r w:rsidRPr="00FC78D6">
        <w:rPr>
          <w:color w:val="000000" w:themeColor="text1"/>
          <w:spacing w:val="-2"/>
        </w:rPr>
        <w:t xml:space="preserve"> </w:t>
      </w:r>
      <w:r w:rsidRPr="00FC78D6">
        <w:rPr>
          <w:color w:val="000000" w:themeColor="text1"/>
        </w:rPr>
        <w:t>a</w:t>
      </w:r>
      <w:r w:rsidRPr="00FC78D6">
        <w:rPr>
          <w:color w:val="000000" w:themeColor="text1"/>
          <w:spacing w:val="-2"/>
        </w:rPr>
        <w:t xml:space="preserve"> </w:t>
      </w:r>
      <w:r w:rsidRPr="00FC78D6">
        <w:rPr>
          <w:color w:val="000000" w:themeColor="text1"/>
        </w:rPr>
        <w:t>new</w:t>
      </w:r>
      <w:r w:rsidRPr="00FC78D6">
        <w:rPr>
          <w:color w:val="000000" w:themeColor="text1"/>
          <w:spacing w:val="-2"/>
        </w:rPr>
        <w:t xml:space="preserve"> </w:t>
      </w:r>
      <w:r w:rsidRPr="00FC78D6">
        <w:rPr>
          <w:color w:val="000000" w:themeColor="text1"/>
        </w:rPr>
        <w:t>product</w:t>
      </w:r>
      <w:r w:rsidRPr="00FC78D6">
        <w:rPr>
          <w:color w:val="000000" w:themeColor="text1"/>
          <w:spacing w:val="-1"/>
        </w:rPr>
        <w:t xml:space="preserve"> </w:t>
      </w:r>
      <w:r w:rsidRPr="00FC78D6">
        <w:rPr>
          <w:color w:val="000000" w:themeColor="text1"/>
        </w:rPr>
        <w:t>or</w:t>
      </w:r>
      <w:r w:rsidRPr="00FC78D6">
        <w:rPr>
          <w:color w:val="000000" w:themeColor="text1"/>
          <w:spacing w:val="-2"/>
        </w:rPr>
        <w:t xml:space="preserve"> </w:t>
      </w:r>
      <w:r w:rsidRPr="00FC78D6">
        <w:rPr>
          <w:color w:val="000000" w:themeColor="text1"/>
        </w:rPr>
        <w:t xml:space="preserve">flame-retardant part of a new product that contains more than one-tenth of 1% of </w:t>
      </w:r>
      <w:proofErr w:type="spellStart"/>
      <w:r w:rsidRPr="00FC78D6">
        <w:rPr>
          <w:color w:val="000000" w:themeColor="text1"/>
        </w:rPr>
        <w:t>pentaBDE</w:t>
      </w:r>
      <w:proofErr w:type="spellEnd"/>
      <w:r w:rsidRPr="00FC78D6">
        <w:rPr>
          <w:color w:val="000000" w:themeColor="text1"/>
        </w:rPr>
        <w:t xml:space="preserve"> (</w:t>
      </w:r>
      <w:proofErr w:type="spellStart"/>
      <w:r w:rsidRPr="00FC78D6">
        <w:rPr>
          <w:color w:val="000000" w:themeColor="text1"/>
        </w:rPr>
        <w:t>pentabrominated</w:t>
      </w:r>
      <w:proofErr w:type="spellEnd"/>
      <w:r w:rsidRPr="00FC78D6">
        <w:rPr>
          <w:color w:val="000000" w:themeColor="text1"/>
        </w:rPr>
        <w:t xml:space="preserve"> diphenyl ether) or </w:t>
      </w:r>
      <w:proofErr w:type="spellStart"/>
      <w:r w:rsidRPr="00FC78D6">
        <w:rPr>
          <w:color w:val="000000" w:themeColor="text1"/>
        </w:rPr>
        <w:t>octaBDE</w:t>
      </w:r>
      <w:proofErr w:type="spellEnd"/>
      <w:r w:rsidRPr="00FC78D6">
        <w:rPr>
          <w:color w:val="000000" w:themeColor="text1"/>
        </w:rPr>
        <w:t xml:space="preserve"> (</w:t>
      </w:r>
      <w:proofErr w:type="spellStart"/>
      <w:r w:rsidRPr="00FC78D6">
        <w:rPr>
          <w:color w:val="000000" w:themeColor="text1"/>
        </w:rPr>
        <w:t>octabrominated</w:t>
      </w:r>
      <w:proofErr w:type="spellEnd"/>
      <w:r w:rsidRPr="00FC78D6">
        <w:rPr>
          <w:color w:val="000000" w:themeColor="text1"/>
        </w:rPr>
        <w:t xml:space="preserve"> diphenyl) by mass.</w:t>
      </w:r>
    </w:p>
    <w:p w14:paraId="3EB0C852" w14:textId="776BC887" w:rsidR="001B7C78" w:rsidRDefault="00FC78D6" w:rsidP="00FC78D6">
      <w:pPr>
        <w:pStyle w:val="BodyText"/>
        <w:kinsoku w:val="0"/>
        <w:overflowPunct w:val="0"/>
        <w:spacing w:before="193" w:line="259" w:lineRule="auto"/>
        <w:ind w:right="906"/>
        <w:rPr>
          <w:color w:val="000000" w:themeColor="text1"/>
        </w:rPr>
      </w:pPr>
      <w:r w:rsidRPr="00FC78D6">
        <w:rPr>
          <w:color w:val="000000" w:themeColor="text1"/>
        </w:rPr>
        <w:t>A person may not manufacture, lease, sell, or distribute for sale or lease in the State electrical or electronic</w:t>
      </w:r>
      <w:r w:rsidRPr="00FC78D6">
        <w:rPr>
          <w:color w:val="000000" w:themeColor="text1"/>
          <w:spacing w:val="-3"/>
        </w:rPr>
        <w:t xml:space="preserve"> </w:t>
      </w:r>
      <w:r w:rsidRPr="00FC78D6">
        <w:rPr>
          <w:color w:val="000000" w:themeColor="text1"/>
        </w:rPr>
        <w:t>equipment</w:t>
      </w:r>
      <w:r w:rsidRPr="00FC78D6">
        <w:rPr>
          <w:color w:val="000000" w:themeColor="text1"/>
          <w:spacing w:val="-2"/>
        </w:rPr>
        <w:t xml:space="preserve"> </w:t>
      </w:r>
      <w:r w:rsidRPr="00FC78D6">
        <w:rPr>
          <w:color w:val="000000" w:themeColor="text1"/>
        </w:rPr>
        <w:t>that</w:t>
      </w:r>
      <w:r w:rsidRPr="00FC78D6">
        <w:rPr>
          <w:color w:val="000000" w:themeColor="text1"/>
          <w:spacing w:val="-5"/>
        </w:rPr>
        <w:t xml:space="preserve"> </w:t>
      </w:r>
      <w:r w:rsidRPr="00FC78D6">
        <w:rPr>
          <w:color w:val="000000" w:themeColor="text1"/>
        </w:rPr>
        <w:t>contain</w:t>
      </w:r>
      <w:r w:rsidRPr="00FC78D6">
        <w:rPr>
          <w:color w:val="000000" w:themeColor="text1"/>
          <w:spacing w:val="-3"/>
        </w:rPr>
        <w:t xml:space="preserve"> </w:t>
      </w:r>
      <w:r w:rsidRPr="00FC78D6">
        <w:rPr>
          <w:color w:val="000000" w:themeColor="text1"/>
        </w:rPr>
        <w:t>more</w:t>
      </w:r>
      <w:r w:rsidRPr="00FC78D6">
        <w:rPr>
          <w:color w:val="000000" w:themeColor="text1"/>
          <w:spacing w:val="-3"/>
        </w:rPr>
        <w:t xml:space="preserve"> </w:t>
      </w:r>
      <w:r w:rsidRPr="00FC78D6">
        <w:rPr>
          <w:color w:val="000000" w:themeColor="text1"/>
        </w:rPr>
        <w:t>than</w:t>
      </w:r>
      <w:r w:rsidRPr="00FC78D6">
        <w:rPr>
          <w:color w:val="000000" w:themeColor="text1"/>
          <w:spacing w:val="-3"/>
        </w:rPr>
        <w:t xml:space="preserve"> </w:t>
      </w:r>
      <w:r w:rsidRPr="00FC78D6">
        <w:rPr>
          <w:color w:val="000000" w:themeColor="text1"/>
        </w:rPr>
        <w:t>one–tenth</w:t>
      </w:r>
      <w:r w:rsidRPr="00FC78D6">
        <w:rPr>
          <w:color w:val="000000" w:themeColor="text1"/>
          <w:spacing w:val="-6"/>
        </w:rPr>
        <w:t xml:space="preserve"> </w:t>
      </w:r>
      <w:r w:rsidRPr="00FC78D6">
        <w:rPr>
          <w:color w:val="000000" w:themeColor="text1"/>
        </w:rPr>
        <w:t>of</w:t>
      </w:r>
      <w:r w:rsidRPr="00FC78D6">
        <w:rPr>
          <w:color w:val="000000" w:themeColor="text1"/>
          <w:spacing w:val="-3"/>
        </w:rPr>
        <w:t xml:space="preserve"> </w:t>
      </w:r>
      <w:r w:rsidRPr="00FC78D6">
        <w:rPr>
          <w:color w:val="000000" w:themeColor="text1"/>
        </w:rPr>
        <w:t>1%</w:t>
      </w:r>
      <w:r w:rsidRPr="00FC78D6">
        <w:rPr>
          <w:color w:val="000000" w:themeColor="text1"/>
          <w:spacing w:val="-3"/>
        </w:rPr>
        <w:t xml:space="preserve"> </w:t>
      </w:r>
      <w:r w:rsidRPr="00FC78D6">
        <w:rPr>
          <w:color w:val="000000" w:themeColor="text1"/>
        </w:rPr>
        <w:t>of</w:t>
      </w:r>
      <w:r w:rsidRPr="00FC78D6">
        <w:rPr>
          <w:color w:val="000000" w:themeColor="text1"/>
          <w:spacing w:val="-5"/>
        </w:rPr>
        <w:t xml:space="preserve"> </w:t>
      </w:r>
      <w:proofErr w:type="spellStart"/>
      <w:r w:rsidRPr="00FC78D6">
        <w:rPr>
          <w:color w:val="000000" w:themeColor="text1"/>
        </w:rPr>
        <w:t>decaBDE</w:t>
      </w:r>
      <w:proofErr w:type="spellEnd"/>
      <w:r w:rsidRPr="00FC78D6">
        <w:rPr>
          <w:color w:val="000000" w:themeColor="text1"/>
          <w:spacing w:val="-6"/>
        </w:rPr>
        <w:t xml:space="preserve"> </w:t>
      </w:r>
      <w:r w:rsidRPr="00FC78D6">
        <w:rPr>
          <w:color w:val="000000" w:themeColor="text1"/>
        </w:rPr>
        <w:t>(</w:t>
      </w:r>
      <w:proofErr w:type="spellStart"/>
      <w:r w:rsidRPr="00FC78D6">
        <w:rPr>
          <w:color w:val="000000" w:themeColor="text1"/>
        </w:rPr>
        <w:t>decabrominated</w:t>
      </w:r>
      <w:proofErr w:type="spellEnd"/>
      <w:r w:rsidRPr="00FC78D6">
        <w:rPr>
          <w:color w:val="000000" w:themeColor="text1"/>
          <w:spacing w:val="-3"/>
        </w:rPr>
        <w:t xml:space="preserve"> </w:t>
      </w:r>
      <w:r w:rsidRPr="00FC78D6">
        <w:rPr>
          <w:color w:val="000000" w:themeColor="text1"/>
        </w:rPr>
        <w:t>diphenyl ether) by mass.</w:t>
      </w:r>
    </w:p>
    <w:p w14:paraId="68271A61" w14:textId="77777777" w:rsidR="001B7C78" w:rsidRDefault="001B7C78" w:rsidP="001B7C78">
      <w:pPr>
        <w:pStyle w:val="BodyText"/>
        <w:kinsoku w:val="0"/>
        <w:overflowPunct w:val="0"/>
        <w:spacing w:line="259" w:lineRule="auto"/>
        <w:ind w:right="906"/>
        <w:rPr>
          <w:color w:val="000000" w:themeColor="text1"/>
        </w:rPr>
      </w:pPr>
    </w:p>
    <w:p w14:paraId="7D7FD53F" w14:textId="77777777" w:rsidR="001B7C78" w:rsidRPr="001B7C78" w:rsidRDefault="001B7C78" w:rsidP="001B7C78">
      <w:pPr>
        <w:rPr>
          <w:sz w:val="22"/>
          <w:szCs w:val="22"/>
        </w:rPr>
      </w:pPr>
      <w:r w:rsidRPr="001B7C78">
        <w:rPr>
          <w:b/>
          <w:bCs/>
          <w:sz w:val="22"/>
          <w:szCs w:val="22"/>
        </w:rPr>
        <w:t xml:space="preserve">Limitations and Prohibitions on Heavy Metals in Packaging </w:t>
      </w:r>
      <w:r w:rsidRPr="001B7C78">
        <w:rPr>
          <w:sz w:val="22"/>
          <w:szCs w:val="22"/>
        </w:rPr>
        <w:t xml:space="preserve">(Env’t </w:t>
      </w:r>
      <w:hyperlink r:id="rId16" w:history="1">
        <w:r w:rsidRPr="001B7C78">
          <w:rPr>
            <w:rStyle w:val="Hyperlink"/>
            <w:sz w:val="22"/>
            <w:szCs w:val="22"/>
          </w:rPr>
          <w:t>§9–1902(a)-(b)</w:t>
        </w:r>
      </w:hyperlink>
      <w:r w:rsidRPr="001B7C78">
        <w:rPr>
          <w:sz w:val="22"/>
          <w:szCs w:val="22"/>
        </w:rPr>
        <w:t xml:space="preserve">) </w:t>
      </w:r>
    </w:p>
    <w:p w14:paraId="2C24BFCF" w14:textId="77777777" w:rsidR="001B7C78" w:rsidRPr="001B7C78" w:rsidRDefault="001B7C78" w:rsidP="001B7C78">
      <w:pPr>
        <w:rPr>
          <w:sz w:val="22"/>
          <w:szCs w:val="22"/>
        </w:rPr>
      </w:pPr>
      <w:r w:rsidRPr="001B7C78">
        <w:rPr>
          <w:sz w:val="22"/>
          <w:szCs w:val="22"/>
        </w:rPr>
        <w:t xml:space="preserve">“A manufacturer or distributor may not sell or offer for sale or for promotional purposes any package or packaging component or any product in a package or packaging component to which any of the following was intentionally added during manufacture or distribution: (1) Lead; (2) Cadmium; (3) Mercury; or (4) Hexavalent chromium. </w:t>
      </w:r>
    </w:p>
    <w:p w14:paraId="002FED1C" w14:textId="0B208C05" w:rsidR="00FC78D6" w:rsidRPr="001B7C78" w:rsidRDefault="001B7C78" w:rsidP="001B7C78">
      <w:pPr>
        <w:spacing w:after="240"/>
        <w:rPr>
          <w:sz w:val="22"/>
          <w:szCs w:val="22"/>
        </w:rPr>
      </w:pPr>
      <w:r w:rsidRPr="001B7C78">
        <w:rPr>
          <w:sz w:val="22"/>
          <w:szCs w:val="22"/>
        </w:rPr>
        <w:lastRenderedPageBreak/>
        <w:t xml:space="preserve">The sum of the concentration levels of lead, cadmium, mercury, and hexavalent chromium incidentally present in a package or packaging component may not exceed...100 parts per million by weight or 0.01%.” </w:t>
      </w:r>
    </w:p>
    <w:p w14:paraId="4CE095EC" w14:textId="7B7F3E88" w:rsidR="006E7C74" w:rsidRDefault="006E7C74" w:rsidP="007547F8">
      <w:pPr>
        <w:pStyle w:val="Heading1"/>
        <w:spacing w:before="240"/>
      </w:pPr>
      <w:bookmarkStart w:id="2" w:name="_Toc113363433"/>
      <w:r>
        <w:t>P</w:t>
      </w:r>
      <w:r w:rsidR="00791FC7">
        <w:t>ROHIBITIONS</w:t>
      </w:r>
      <w:bookmarkEnd w:id="2"/>
      <w:r>
        <w:t xml:space="preserve"> </w:t>
      </w:r>
    </w:p>
    <w:p w14:paraId="10645817" w14:textId="6D2146F7" w:rsidR="006E7C74" w:rsidRPr="00613879" w:rsidRDefault="006E7C74" w:rsidP="00FC78D6">
      <w:pPr>
        <w:pStyle w:val="ListParagraph"/>
        <w:numPr>
          <w:ilvl w:val="0"/>
          <w:numId w:val="37"/>
        </w:numPr>
        <w:rPr>
          <w:sz w:val="22"/>
          <w:szCs w:val="22"/>
        </w:rPr>
      </w:pPr>
      <w:r w:rsidRPr="00613879">
        <w:rPr>
          <w:sz w:val="22"/>
          <w:szCs w:val="22"/>
        </w:rPr>
        <w:t>Batteries containing nickel cadmium (Ni-Cd), mercury, or lead are prohibited.</w:t>
      </w:r>
    </w:p>
    <w:p w14:paraId="62E0AC77" w14:textId="51C6893E" w:rsidR="00FC78D6" w:rsidRDefault="00FC78D6" w:rsidP="00FC78D6">
      <w:pPr>
        <w:pStyle w:val="ListParagraph"/>
        <w:widowControl w:val="0"/>
        <w:numPr>
          <w:ilvl w:val="0"/>
          <w:numId w:val="37"/>
        </w:numPr>
        <w:tabs>
          <w:tab w:val="left" w:pos="1333"/>
        </w:tabs>
        <w:kinsoku w:val="0"/>
        <w:overflowPunct w:val="0"/>
        <w:autoSpaceDE w:val="0"/>
        <w:autoSpaceDN w:val="0"/>
        <w:adjustRightInd w:val="0"/>
        <w:spacing w:before="178"/>
        <w:ind w:right="924"/>
        <w:contextualSpacing w:val="0"/>
        <w:rPr>
          <w:sz w:val="22"/>
          <w:szCs w:val="22"/>
        </w:rPr>
      </w:pPr>
      <w:r>
        <w:rPr>
          <w:sz w:val="22"/>
          <w:szCs w:val="22"/>
        </w:rPr>
        <w:t>Pursuant</w:t>
      </w:r>
      <w:r>
        <w:rPr>
          <w:spacing w:val="-5"/>
          <w:sz w:val="22"/>
          <w:szCs w:val="22"/>
        </w:rPr>
        <w:t xml:space="preserve"> </w:t>
      </w:r>
      <w:r>
        <w:rPr>
          <w:sz w:val="22"/>
          <w:szCs w:val="22"/>
        </w:rPr>
        <w:t>to</w:t>
      </w:r>
      <w:r>
        <w:rPr>
          <w:spacing w:val="-4"/>
          <w:sz w:val="22"/>
          <w:szCs w:val="22"/>
        </w:rPr>
        <w:t xml:space="preserve"> </w:t>
      </w:r>
      <w:r w:rsidR="001B7C78" w:rsidRPr="001B7C78">
        <w:rPr>
          <w:sz w:val="22"/>
          <w:szCs w:val="22"/>
        </w:rPr>
        <w:t>Env’t</w:t>
      </w:r>
      <w:r>
        <w:rPr>
          <w:spacing w:val="-4"/>
          <w:sz w:val="22"/>
          <w:szCs w:val="22"/>
        </w:rPr>
        <w:t xml:space="preserve"> </w:t>
      </w:r>
      <w:r>
        <w:rPr>
          <w:sz w:val="22"/>
          <w:szCs w:val="22"/>
        </w:rPr>
        <w:t>§</w:t>
      </w:r>
      <w:r w:rsidR="00D536C3">
        <w:rPr>
          <w:sz w:val="22"/>
          <w:szCs w:val="22"/>
        </w:rPr>
        <w:t>§</w:t>
      </w:r>
      <w:r>
        <w:rPr>
          <w:sz w:val="22"/>
          <w:szCs w:val="22"/>
        </w:rPr>
        <w:t>6–1201–1204,</w:t>
      </w:r>
      <w:r>
        <w:rPr>
          <w:spacing w:val="-4"/>
          <w:sz w:val="22"/>
          <w:szCs w:val="22"/>
        </w:rPr>
        <w:t xml:space="preserve"> </w:t>
      </w:r>
      <w:r>
        <w:rPr>
          <w:sz w:val="22"/>
          <w:szCs w:val="22"/>
        </w:rPr>
        <w:t>products</w:t>
      </w:r>
      <w:r>
        <w:rPr>
          <w:spacing w:val="-4"/>
          <w:sz w:val="22"/>
          <w:szCs w:val="22"/>
        </w:rPr>
        <w:t xml:space="preserve"> </w:t>
      </w:r>
      <w:r>
        <w:rPr>
          <w:sz w:val="22"/>
          <w:szCs w:val="22"/>
        </w:rPr>
        <w:t>containing</w:t>
      </w:r>
      <w:r>
        <w:rPr>
          <w:spacing w:val="-6"/>
          <w:sz w:val="22"/>
          <w:szCs w:val="22"/>
        </w:rPr>
        <w:t xml:space="preserve"> </w:t>
      </w:r>
      <w:r>
        <w:rPr>
          <w:sz w:val="22"/>
          <w:szCs w:val="22"/>
        </w:rPr>
        <w:t>more</w:t>
      </w:r>
      <w:r>
        <w:rPr>
          <w:spacing w:val="-4"/>
          <w:sz w:val="22"/>
          <w:szCs w:val="22"/>
        </w:rPr>
        <w:t xml:space="preserve"> </w:t>
      </w:r>
      <w:r>
        <w:rPr>
          <w:sz w:val="22"/>
          <w:szCs w:val="22"/>
        </w:rPr>
        <w:t>than</w:t>
      </w:r>
      <w:r>
        <w:rPr>
          <w:spacing w:val="-4"/>
          <w:sz w:val="22"/>
          <w:szCs w:val="22"/>
        </w:rPr>
        <w:t xml:space="preserve"> </w:t>
      </w:r>
      <w:r>
        <w:rPr>
          <w:sz w:val="22"/>
          <w:szCs w:val="22"/>
        </w:rPr>
        <w:t>one-tenth</w:t>
      </w:r>
      <w:r>
        <w:rPr>
          <w:spacing w:val="-4"/>
          <w:sz w:val="22"/>
          <w:szCs w:val="22"/>
        </w:rPr>
        <w:t xml:space="preserve"> </w:t>
      </w:r>
      <w:r>
        <w:rPr>
          <w:sz w:val="22"/>
          <w:szCs w:val="22"/>
        </w:rPr>
        <w:t xml:space="preserve">of 1% of </w:t>
      </w:r>
      <w:proofErr w:type="spellStart"/>
      <w:r>
        <w:rPr>
          <w:sz w:val="22"/>
          <w:szCs w:val="22"/>
        </w:rPr>
        <w:t>pentaBDE</w:t>
      </w:r>
      <w:proofErr w:type="spellEnd"/>
      <w:r>
        <w:rPr>
          <w:sz w:val="22"/>
          <w:szCs w:val="22"/>
        </w:rPr>
        <w:t xml:space="preserve">, </w:t>
      </w:r>
      <w:proofErr w:type="spellStart"/>
      <w:r>
        <w:rPr>
          <w:sz w:val="22"/>
          <w:szCs w:val="22"/>
        </w:rPr>
        <w:t>octaBDE</w:t>
      </w:r>
      <w:proofErr w:type="spellEnd"/>
      <w:r>
        <w:rPr>
          <w:sz w:val="22"/>
          <w:szCs w:val="22"/>
        </w:rPr>
        <w:t xml:space="preserve">, or </w:t>
      </w:r>
      <w:proofErr w:type="spellStart"/>
      <w:r>
        <w:rPr>
          <w:sz w:val="22"/>
          <w:szCs w:val="22"/>
        </w:rPr>
        <w:t>decaBDE</w:t>
      </w:r>
      <w:proofErr w:type="spellEnd"/>
      <w:r>
        <w:rPr>
          <w:sz w:val="22"/>
          <w:szCs w:val="22"/>
        </w:rPr>
        <w:t xml:space="preserve"> by mass are prohibited.</w:t>
      </w:r>
    </w:p>
    <w:p w14:paraId="604541C5" w14:textId="6ABC9DB2" w:rsidR="00FC78D6" w:rsidRDefault="00FC78D6" w:rsidP="00FC78D6">
      <w:pPr>
        <w:pStyle w:val="ListParagraph"/>
        <w:widowControl w:val="0"/>
        <w:numPr>
          <w:ilvl w:val="0"/>
          <w:numId w:val="37"/>
        </w:numPr>
        <w:tabs>
          <w:tab w:val="left" w:pos="1333"/>
        </w:tabs>
        <w:kinsoku w:val="0"/>
        <w:overflowPunct w:val="0"/>
        <w:autoSpaceDE w:val="0"/>
        <w:autoSpaceDN w:val="0"/>
        <w:adjustRightInd w:val="0"/>
        <w:spacing w:before="117"/>
        <w:ind w:right="840"/>
        <w:contextualSpacing w:val="0"/>
        <w:rPr>
          <w:color w:val="000000"/>
          <w:sz w:val="22"/>
          <w:szCs w:val="22"/>
        </w:rPr>
      </w:pPr>
      <w:r>
        <w:rPr>
          <w:sz w:val="22"/>
          <w:szCs w:val="22"/>
        </w:rPr>
        <w:t>Pursuant</w:t>
      </w:r>
      <w:r>
        <w:rPr>
          <w:spacing w:val="-5"/>
          <w:sz w:val="22"/>
          <w:szCs w:val="22"/>
        </w:rPr>
        <w:t xml:space="preserve"> </w:t>
      </w:r>
      <w:r>
        <w:rPr>
          <w:sz w:val="22"/>
          <w:szCs w:val="22"/>
        </w:rPr>
        <w:t>to</w:t>
      </w:r>
      <w:r>
        <w:rPr>
          <w:spacing w:val="-3"/>
          <w:sz w:val="22"/>
          <w:szCs w:val="22"/>
        </w:rPr>
        <w:t xml:space="preserve"> </w:t>
      </w:r>
      <w:r>
        <w:rPr>
          <w:color w:val="212121"/>
          <w:sz w:val="22"/>
          <w:szCs w:val="22"/>
        </w:rPr>
        <w:t>COMAR:</w:t>
      </w:r>
      <w:r>
        <w:rPr>
          <w:color w:val="212121"/>
          <w:spacing w:val="-4"/>
          <w:sz w:val="22"/>
          <w:szCs w:val="22"/>
        </w:rPr>
        <w:t xml:space="preserve"> </w:t>
      </w:r>
      <w:r>
        <w:rPr>
          <w:color w:val="000000"/>
          <w:sz w:val="22"/>
          <w:szCs w:val="22"/>
        </w:rPr>
        <w:t>21.11.07.07,</w:t>
      </w:r>
      <w:r>
        <w:rPr>
          <w:color w:val="000000"/>
          <w:spacing w:val="-3"/>
          <w:sz w:val="22"/>
          <w:szCs w:val="22"/>
        </w:rPr>
        <w:t xml:space="preserve"> </w:t>
      </w:r>
      <w:r>
        <w:rPr>
          <w:color w:val="000000"/>
          <w:sz w:val="22"/>
          <w:szCs w:val="22"/>
        </w:rPr>
        <w:t>products</w:t>
      </w:r>
      <w:r>
        <w:rPr>
          <w:color w:val="000000"/>
          <w:spacing w:val="-5"/>
          <w:sz w:val="22"/>
          <w:szCs w:val="22"/>
        </w:rPr>
        <w:t xml:space="preserve"> </w:t>
      </w:r>
      <w:r>
        <w:rPr>
          <w:color w:val="000000"/>
          <w:sz w:val="22"/>
          <w:szCs w:val="22"/>
        </w:rPr>
        <w:t>that</w:t>
      </w:r>
      <w:r>
        <w:rPr>
          <w:color w:val="000000"/>
          <w:spacing w:val="-2"/>
          <w:sz w:val="22"/>
          <w:szCs w:val="22"/>
        </w:rPr>
        <w:t xml:space="preserve"> </w:t>
      </w:r>
      <w:r>
        <w:rPr>
          <w:color w:val="000000"/>
          <w:sz w:val="22"/>
          <w:szCs w:val="22"/>
        </w:rPr>
        <w:t>contain</w:t>
      </w:r>
      <w:r>
        <w:rPr>
          <w:color w:val="000000"/>
          <w:spacing w:val="-3"/>
          <w:sz w:val="22"/>
          <w:szCs w:val="22"/>
        </w:rPr>
        <w:t xml:space="preserve"> </w:t>
      </w:r>
      <w:r>
        <w:rPr>
          <w:color w:val="000000"/>
          <w:sz w:val="22"/>
          <w:szCs w:val="22"/>
        </w:rPr>
        <w:t>mercury</w:t>
      </w:r>
      <w:r>
        <w:rPr>
          <w:color w:val="000000"/>
          <w:spacing w:val="-4"/>
          <w:sz w:val="22"/>
          <w:szCs w:val="22"/>
        </w:rPr>
        <w:t xml:space="preserve"> </w:t>
      </w:r>
      <w:r>
        <w:rPr>
          <w:color w:val="000000"/>
          <w:sz w:val="22"/>
          <w:szCs w:val="22"/>
        </w:rPr>
        <w:t>are</w:t>
      </w:r>
      <w:r>
        <w:rPr>
          <w:color w:val="000000"/>
          <w:spacing w:val="-3"/>
          <w:sz w:val="22"/>
          <w:szCs w:val="22"/>
        </w:rPr>
        <w:t xml:space="preserve"> </w:t>
      </w:r>
      <w:r>
        <w:rPr>
          <w:color w:val="000000"/>
          <w:sz w:val="22"/>
          <w:szCs w:val="22"/>
        </w:rPr>
        <w:t>prohibited,</w:t>
      </w:r>
      <w:r>
        <w:rPr>
          <w:color w:val="000000"/>
          <w:spacing w:val="-4"/>
          <w:sz w:val="22"/>
          <w:szCs w:val="22"/>
        </w:rPr>
        <w:t xml:space="preserve"> </w:t>
      </w:r>
      <w:r>
        <w:rPr>
          <w:color w:val="000000"/>
          <w:sz w:val="22"/>
          <w:szCs w:val="22"/>
        </w:rPr>
        <w:t>unless</w:t>
      </w:r>
      <w:r>
        <w:rPr>
          <w:color w:val="000000"/>
          <w:spacing w:val="-3"/>
          <w:sz w:val="22"/>
          <w:szCs w:val="22"/>
        </w:rPr>
        <w:t xml:space="preserve"> </w:t>
      </w:r>
      <w:r>
        <w:rPr>
          <w:color w:val="000000"/>
          <w:sz w:val="22"/>
          <w:szCs w:val="22"/>
        </w:rPr>
        <w:t>there</w:t>
      </w:r>
      <w:r>
        <w:rPr>
          <w:color w:val="000000"/>
          <w:spacing w:val="-3"/>
          <w:sz w:val="22"/>
          <w:szCs w:val="22"/>
        </w:rPr>
        <w:t xml:space="preserve"> </w:t>
      </w:r>
      <w:r>
        <w:rPr>
          <w:color w:val="000000"/>
          <w:sz w:val="22"/>
          <w:szCs w:val="22"/>
        </w:rPr>
        <w:t xml:space="preserve">are no commercially available mercury-free products </w:t>
      </w:r>
      <w:r w:rsidR="00D536C3">
        <w:rPr>
          <w:color w:val="000000"/>
          <w:sz w:val="22"/>
          <w:szCs w:val="22"/>
        </w:rPr>
        <w:t>that meet an agency’s requirements</w:t>
      </w:r>
      <w:r>
        <w:rPr>
          <w:color w:val="000000"/>
          <w:sz w:val="22"/>
          <w:szCs w:val="22"/>
        </w:rPr>
        <w:t xml:space="preserve">. In such cases, the Contractor must offer products containing the least amount of mercury necessary to meet </w:t>
      </w:r>
      <w:r w:rsidR="00D536C3">
        <w:rPr>
          <w:color w:val="000000"/>
          <w:sz w:val="22"/>
          <w:szCs w:val="22"/>
        </w:rPr>
        <w:t xml:space="preserve">the agency’s </w:t>
      </w:r>
      <w:r>
        <w:rPr>
          <w:color w:val="000000"/>
          <w:sz w:val="22"/>
          <w:szCs w:val="22"/>
        </w:rPr>
        <w:t>requirements.</w:t>
      </w:r>
    </w:p>
    <w:p w14:paraId="1AD1A916" w14:textId="6A77C015" w:rsidR="001B7C78" w:rsidRPr="001B7C78" w:rsidRDefault="00FC78D6" w:rsidP="001B7C78">
      <w:pPr>
        <w:pStyle w:val="BodyText"/>
        <w:kinsoku w:val="0"/>
        <w:overflowPunct w:val="0"/>
        <w:spacing w:before="134"/>
        <w:ind w:firstLine="720"/>
        <w:rPr>
          <w:spacing w:val="-2"/>
        </w:rPr>
      </w:pPr>
      <w:r>
        <w:t>The</w:t>
      </w:r>
      <w:r>
        <w:rPr>
          <w:spacing w:val="-7"/>
        </w:rPr>
        <w:t xml:space="preserve"> </w:t>
      </w:r>
      <w:r>
        <w:t>Contractor</w:t>
      </w:r>
      <w:r>
        <w:rPr>
          <w:spacing w:val="-2"/>
        </w:rPr>
        <w:t xml:space="preserve"> </w:t>
      </w:r>
      <w:r>
        <w:t>must</w:t>
      </w:r>
      <w:r>
        <w:rPr>
          <w:spacing w:val="-2"/>
        </w:rPr>
        <w:t xml:space="preserve"> </w:t>
      </w:r>
      <w:r>
        <w:t>clearly</w:t>
      </w:r>
      <w:r>
        <w:rPr>
          <w:spacing w:val="-5"/>
        </w:rPr>
        <w:t xml:space="preserve"> </w:t>
      </w:r>
      <w:r>
        <w:t>label</w:t>
      </w:r>
      <w:r>
        <w:rPr>
          <w:spacing w:val="-4"/>
        </w:rPr>
        <w:t xml:space="preserve"> </w:t>
      </w:r>
      <w:r>
        <w:t>in</w:t>
      </w:r>
      <w:r>
        <w:rPr>
          <w:spacing w:val="-2"/>
        </w:rPr>
        <w:t xml:space="preserve"> </w:t>
      </w:r>
      <w:r>
        <w:t>its</w:t>
      </w:r>
      <w:r>
        <w:rPr>
          <w:spacing w:val="-5"/>
        </w:rPr>
        <w:t xml:space="preserve"> </w:t>
      </w:r>
      <w:r>
        <w:t>bid</w:t>
      </w:r>
      <w:r>
        <w:rPr>
          <w:spacing w:val="-5"/>
        </w:rPr>
        <w:t xml:space="preserve"> </w:t>
      </w:r>
      <w:r>
        <w:t>all</w:t>
      </w:r>
      <w:r>
        <w:rPr>
          <w:spacing w:val="-1"/>
        </w:rPr>
        <w:t xml:space="preserve"> </w:t>
      </w:r>
      <w:r>
        <w:t>products</w:t>
      </w:r>
      <w:r>
        <w:rPr>
          <w:spacing w:val="-3"/>
        </w:rPr>
        <w:t xml:space="preserve"> </w:t>
      </w:r>
      <w:r>
        <w:t>that</w:t>
      </w:r>
      <w:r>
        <w:rPr>
          <w:spacing w:val="-1"/>
        </w:rPr>
        <w:t xml:space="preserve"> </w:t>
      </w:r>
      <w:r>
        <w:t>contain</w:t>
      </w:r>
      <w:r>
        <w:rPr>
          <w:spacing w:val="-2"/>
        </w:rPr>
        <w:t xml:space="preserve"> mercury.</w:t>
      </w:r>
    </w:p>
    <w:p w14:paraId="111A174F" w14:textId="47227991" w:rsidR="006E7C74" w:rsidRPr="001B7C78" w:rsidRDefault="001B7C78" w:rsidP="001B7C78">
      <w:pPr>
        <w:pStyle w:val="ListParagraph"/>
        <w:widowControl w:val="0"/>
        <w:numPr>
          <w:ilvl w:val="0"/>
          <w:numId w:val="37"/>
        </w:numPr>
        <w:tabs>
          <w:tab w:val="left" w:pos="1333"/>
        </w:tabs>
        <w:kinsoku w:val="0"/>
        <w:overflowPunct w:val="0"/>
        <w:autoSpaceDE w:val="0"/>
        <w:autoSpaceDN w:val="0"/>
        <w:adjustRightInd w:val="0"/>
        <w:spacing w:before="117"/>
        <w:ind w:right="840"/>
        <w:contextualSpacing w:val="0"/>
        <w:rPr>
          <w:sz w:val="22"/>
          <w:szCs w:val="22"/>
        </w:rPr>
      </w:pPr>
      <w:r w:rsidRPr="001B7C78">
        <w:rPr>
          <w:sz w:val="22"/>
          <w:szCs w:val="22"/>
        </w:rPr>
        <w:t>Pursuant to Env’t, §</w:t>
      </w:r>
      <w:r w:rsidR="00474574">
        <w:rPr>
          <w:sz w:val="22"/>
          <w:szCs w:val="22"/>
        </w:rPr>
        <w:t>§</w:t>
      </w:r>
      <w:r w:rsidRPr="001B7C78">
        <w:rPr>
          <w:sz w:val="22"/>
          <w:szCs w:val="22"/>
        </w:rPr>
        <w:t>9–1901–1907, the Contractor is prohibited from offering or using packaging or packaging components (</w:t>
      </w:r>
      <w:proofErr w:type="gramStart"/>
      <w:r w:rsidRPr="001B7C78">
        <w:rPr>
          <w:sz w:val="22"/>
          <w:szCs w:val="22"/>
        </w:rPr>
        <w:t>e.g.</w:t>
      </w:r>
      <w:proofErr w:type="gramEnd"/>
      <w:r w:rsidRPr="001B7C78">
        <w:rPr>
          <w:sz w:val="22"/>
          <w:szCs w:val="22"/>
        </w:rPr>
        <w:t xml:space="preserve"> inks, dyes, pigments, adhesives, stabilizers, and additives) with lead, cadmium, mercury or hexavalent chromium at concentration levels exceeding 100 parts per million by weight or 0.01%. </w:t>
      </w:r>
    </w:p>
    <w:p w14:paraId="1FA21C96" w14:textId="2B3FE27D" w:rsidR="005B0109" w:rsidRDefault="0048726C" w:rsidP="007547F8">
      <w:pPr>
        <w:pStyle w:val="Heading1"/>
        <w:spacing w:before="240"/>
      </w:pPr>
      <w:bookmarkStart w:id="3" w:name="_Toc113363434"/>
      <w:r>
        <w:t xml:space="preserve">MINIMUM </w:t>
      </w:r>
      <w:r w:rsidR="006C7F81">
        <w:t>REQUIREMENTS</w:t>
      </w:r>
      <w:bookmarkEnd w:id="3"/>
      <w:r w:rsidR="006C7F81">
        <w:t xml:space="preserve"> </w:t>
      </w:r>
    </w:p>
    <w:p w14:paraId="2BD9B758" w14:textId="27715463" w:rsidR="006E7C74" w:rsidRDefault="006E7C74" w:rsidP="004E5511">
      <w:pPr>
        <w:pStyle w:val="Heading2"/>
      </w:pPr>
      <w:bookmarkStart w:id="4" w:name="_Toc113363435"/>
      <w:r>
        <w:t>Office Paper Products</w:t>
      </w:r>
      <w:bookmarkEnd w:id="4"/>
      <w:r>
        <w:t xml:space="preserve"> </w:t>
      </w:r>
    </w:p>
    <w:p w14:paraId="41BF3035" w14:textId="385E81F4" w:rsidR="006E7C74" w:rsidRPr="004E5511" w:rsidRDefault="006E7C74" w:rsidP="004E5511">
      <w:pPr>
        <w:pStyle w:val="Heading3"/>
      </w:pPr>
      <w:r w:rsidRPr="004E5511">
        <w:t xml:space="preserve">Copy Paper, White, 20# </w:t>
      </w:r>
    </w:p>
    <w:p w14:paraId="1CAC465C" w14:textId="5B92F684" w:rsidR="006E7C74" w:rsidRDefault="006E7C74" w:rsidP="006E7C74">
      <w:pPr>
        <w:ind w:left="1440"/>
      </w:pPr>
      <w:r>
        <w:t xml:space="preserve">All white copy paper must: </w:t>
      </w:r>
    </w:p>
    <w:p w14:paraId="4F134F9D" w14:textId="77777777" w:rsidR="006E7C74" w:rsidRDefault="006E7C74" w:rsidP="006E7C74">
      <w:pPr>
        <w:pStyle w:val="ListParagraph"/>
        <w:numPr>
          <w:ilvl w:val="0"/>
          <w:numId w:val="17"/>
        </w:numPr>
      </w:pPr>
      <w:r w:rsidRPr="006E7C74">
        <w:t>Contain at least 50% post-consumer recycled content (PCRC</w:t>
      </w:r>
      <w:proofErr w:type="gramStart"/>
      <w:r w:rsidRPr="006E7C74">
        <w:t>);</w:t>
      </w:r>
      <w:proofErr w:type="gramEnd"/>
      <w:r w:rsidRPr="006E7C74">
        <w:t xml:space="preserve"> </w:t>
      </w:r>
    </w:p>
    <w:p w14:paraId="287CEEE4" w14:textId="6501E88A" w:rsidR="006E7C74" w:rsidRDefault="00FE46BB" w:rsidP="006E7C74">
      <w:pPr>
        <w:pStyle w:val="ListParagraph"/>
        <w:ind w:left="2160"/>
      </w:pPr>
      <w:r>
        <w:t>–</w:t>
      </w:r>
      <w:r w:rsidR="006E7C74" w:rsidRPr="006E7C74">
        <w:t xml:space="preserve"> AND </w:t>
      </w:r>
      <w:r w:rsidR="006E7C74">
        <w:t>–</w:t>
      </w:r>
      <w:r w:rsidR="006E7C74" w:rsidRPr="006E7C74">
        <w:t xml:space="preserve"> </w:t>
      </w:r>
    </w:p>
    <w:p w14:paraId="31DCC8CB" w14:textId="77777777" w:rsidR="006E7C74" w:rsidRDefault="006E7C74" w:rsidP="006E7C74">
      <w:pPr>
        <w:pStyle w:val="ListParagraph"/>
        <w:numPr>
          <w:ilvl w:val="0"/>
          <w:numId w:val="17"/>
        </w:numPr>
      </w:pPr>
      <w:r w:rsidRPr="006E7C74">
        <w:t xml:space="preserve">Have at least one of the following third-party certifications: </w:t>
      </w:r>
    </w:p>
    <w:p w14:paraId="6FC344D1" w14:textId="2F405EC7" w:rsidR="006E7C74" w:rsidRDefault="006E7C74" w:rsidP="006E7C74">
      <w:pPr>
        <w:pStyle w:val="ListParagraph"/>
        <w:numPr>
          <w:ilvl w:val="1"/>
          <w:numId w:val="17"/>
        </w:numPr>
      </w:pPr>
      <w:r w:rsidRPr="006E7C74">
        <w:t xml:space="preserve">Green </w:t>
      </w:r>
      <w:proofErr w:type="gramStart"/>
      <w:r w:rsidRPr="006E7C74">
        <w:t>Seal</w:t>
      </w:r>
      <w:r w:rsidR="00791FC7">
        <w:t>;</w:t>
      </w:r>
      <w:proofErr w:type="gramEnd"/>
    </w:p>
    <w:p w14:paraId="5D03A8C9" w14:textId="77777777" w:rsidR="006E7C74" w:rsidRDefault="006E7C74" w:rsidP="006E7C74">
      <w:pPr>
        <w:pStyle w:val="ListParagraph"/>
        <w:numPr>
          <w:ilvl w:val="1"/>
          <w:numId w:val="17"/>
        </w:numPr>
      </w:pPr>
      <w:r w:rsidRPr="006E7C74">
        <w:t>UL (ECOLOGO or Recycled Claim Verification</w:t>
      </w:r>
      <w:proofErr w:type="gramStart"/>
      <w:r w:rsidRPr="006E7C74">
        <w:t>);</w:t>
      </w:r>
      <w:proofErr w:type="gramEnd"/>
    </w:p>
    <w:p w14:paraId="0AF54C02" w14:textId="241E7933" w:rsidR="006E7C74" w:rsidRDefault="006E7C74" w:rsidP="006E7C74">
      <w:pPr>
        <w:pStyle w:val="ListParagraph"/>
        <w:numPr>
          <w:ilvl w:val="1"/>
          <w:numId w:val="17"/>
        </w:numPr>
      </w:pPr>
      <w:r w:rsidRPr="006E7C74">
        <w:t>Forest Stewardship Council (FSC)</w:t>
      </w:r>
      <w:r w:rsidR="00791FC7">
        <w:t>; or</w:t>
      </w:r>
    </w:p>
    <w:p w14:paraId="21B246B5" w14:textId="733F755A" w:rsidR="006E7C74" w:rsidRDefault="006E7C74" w:rsidP="006E7C74">
      <w:pPr>
        <w:pStyle w:val="ListParagraph"/>
        <w:numPr>
          <w:ilvl w:val="1"/>
          <w:numId w:val="17"/>
        </w:numPr>
      </w:pPr>
      <w:r w:rsidRPr="006E7C74">
        <w:t>SCS (Recycled Claim Verification)</w:t>
      </w:r>
      <w:r w:rsidR="00791FC7">
        <w:t>.</w:t>
      </w:r>
    </w:p>
    <w:p w14:paraId="25672BA2" w14:textId="77777777" w:rsidR="006E7C74" w:rsidRDefault="006E7C74" w:rsidP="006E7C74">
      <w:pPr>
        <w:pStyle w:val="ListParagraph"/>
        <w:ind w:left="2880"/>
      </w:pPr>
    </w:p>
    <w:p w14:paraId="474E085C" w14:textId="1569FAC5" w:rsidR="006E7C74" w:rsidRPr="006E7C74" w:rsidRDefault="006E7C74" w:rsidP="004E5511">
      <w:pPr>
        <w:pStyle w:val="Heading3"/>
      </w:pPr>
      <w:r>
        <w:t xml:space="preserve">Office Paper Products, Other than White Copy Paper </w:t>
      </w:r>
    </w:p>
    <w:p w14:paraId="1DC621BF" w14:textId="667F4222" w:rsidR="006E7C74" w:rsidRDefault="006E7C74" w:rsidP="006E7C74">
      <w:pPr>
        <w:ind w:left="1440"/>
      </w:pPr>
      <w:r>
        <w:t xml:space="preserve">All colored copy paper, </w:t>
      </w:r>
      <w:proofErr w:type="gramStart"/>
      <w:r>
        <w:t>manila</w:t>
      </w:r>
      <w:proofErr w:type="gramEnd"/>
      <w:r>
        <w:t xml:space="preserve"> and white hanging file folders, #10 white wove and manila envelopes, white and colored legal pads, and sticky notes must: </w:t>
      </w:r>
    </w:p>
    <w:p w14:paraId="3B190F42" w14:textId="6FEA82C3" w:rsidR="006E7C74" w:rsidRPr="006D08BB" w:rsidRDefault="00791FC7" w:rsidP="00791FC7">
      <w:pPr>
        <w:pStyle w:val="Heading3"/>
        <w:numPr>
          <w:ilvl w:val="0"/>
          <w:numId w:val="0"/>
        </w:numPr>
        <w:ind w:left="1800" w:hanging="360"/>
        <w:rPr>
          <w:b w:val="0"/>
          <w:bCs w:val="0"/>
        </w:rPr>
      </w:pPr>
      <w:r w:rsidRPr="006D08BB">
        <w:rPr>
          <w:b w:val="0"/>
          <w:bCs w:val="0"/>
        </w:rPr>
        <w:t>A.</w:t>
      </w:r>
      <w:r>
        <w:tab/>
      </w:r>
      <w:r w:rsidR="006E7C74" w:rsidRPr="006D08BB">
        <w:rPr>
          <w:b w:val="0"/>
          <w:bCs w:val="0"/>
        </w:rPr>
        <w:t xml:space="preserve">Contain at least 50% post-consumer recycled content (PCRC) </w:t>
      </w:r>
    </w:p>
    <w:p w14:paraId="31F287B6" w14:textId="21CB5ACB" w:rsidR="006E7C74" w:rsidRPr="006E7C74" w:rsidRDefault="00FE46BB" w:rsidP="006E7C74">
      <w:pPr>
        <w:pStyle w:val="ListParagraph"/>
        <w:ind w:left="2160"/>
      </w:pPr>
      <w:r>
        <w:t>–</w:t>
      </w:r>
      <w:r w:rsidR="006E7C74" w:rsidRPr="006E7C74">
        <w:t xml:space="preserve"> OR </w:t>
      </w:r>
      <w:r>
        <w:t>–</w:t>
      </w:r>
    </w:p>
    <w:p w14:paraId="4061CE47" w14:textId="6C43D723" w:rsidR="006E7C74" w:rsidRDefault="006D08BB" w:rsidP="006D08BB">
      <w:pPr>
        <w:ind w:left="1800" w:hanging="360"/>
      </w:pPr>
      <w:r>
        <w:t>B.</w:t>
      </w:r>
      <w:r>
        <w:tab/>
      </w:r>
      <w:r w:rsidR="006E7C74" w:rsidRPr="006E7C74">
        <w:t xml:space="preserve">Contain </w:t>
      </w:r>
      <w:r w:rsidR="006E7C74">
        <w:t>100%</w:t>
      </w:r>
      <w:r w:rsidR="006E7C74" w:rsidRPr="006E7C74">
        <w:t xml:space="preserve"> total recycled content </w:t>
      </w:r>
      <w:r w:rsidR="006E7C74">
        <w:t xml:space="preserve">(TRC) with at least 30% PCRC </w:t>
      </w:r>
    </w:p>
    <w:p w14:paraId="08166528" w14:textId="25498758" w:rsidR="006E7C74" w:rsidRDefault="00FE46BB" w:rsidP="006E7C74">
      <w:pPr>
        <w:pStyle w:val="ListParagraph"/>
        <w:ind w:left="2160"/>
      </w:pPr>
      <w:r>
        <w:t>–</w:t>
      </w:r>
      <w:r w:rsidR="006E7C74" w:rsidRPr="006E7C74">
        <w:t xml:space="preserve"> OR </w:t>
      </w:r>
      <w:r w:rsidR="006E7C74">
        <w:t>–</w:t>
      </w:r>
    </w:p>
    <w:p w14:paraId="1009F5F1" w14:textId="2709BBD4" w:rsidR="006E7C74" w:rsidRDefault="006D08BB" w:rsidP="006D08BB">
      <w:pPr>
        <w:ind w:left="1800" w:hanging="360"/>
      </w:pPr>
      <w:r>
        <w:t>C.</w:t>
      </w:r>
      <w:r>
        <w:tab/>
        <w:t>1</w:t>
      </w:r>
      <w:proofErr w:type="gramStart"/>
      <w:r>
        <w:t xml:space="preserve">)  </w:t>
      </w:r>
      <w:r w:rsidR="006E7C74" w:rsidRPr="006E7C74">
        <w:t>Have</w:t>
      </w:r>
      <w:proofErr w:type="gramEnd"/>
      <w:r w:rsidR="006E7C74" w:rsidRPr="006E7C74">
        <w:t xml:space="preserve"> at least 30% PCRC plus one of the following third-party certifications: </w:t>
      </w:r>
    </w:p>
    <w:p w14:paraId="18DC1953" w14:textId="77777777" w:rsidR="006E7C74" w:rsidRDefault="006E7C74" w:rsidP="006E7C74">
      <w:pPr>
        <w:pStyle w:val="ListParagraph"/>
        <w:numPr>
          <w:ilvl w:val="3"/>
          <w:numId w:val="19"/>
        </w:numPr>
      </w:pPr>
      <w:r w:rsidRPr="006E7C74">
        <w:t xml:space="preserve">Green Seal </w:t>
      </w:r>
    </w:p>
    <w:p w14:paraId="59024DC0" w14:textId="77777777" w:rsidR="006E7C74" w:rsidRDefault="006E7C74" w:rsidP="006E7C74">
      <w:pPr>
        <w:pStyle w:val="ListParagraph"/>
        <w:numPr>
          <w:ilvl w:val="3"/>
          <w:numId w:val="19"/>
        </w:numPr>
      </w:pPr>
      <w:r w:rsidRPr="006E7C74">
        <w:t xml:space="preserve">UL ECOLOGO (or recycled-content claim verification) </w:t>
      </w:r>
    </w:p>
    <w:p w14:paraId="298A7DED" w14:textId="77777777" w:rsidR="006E7C74" w:rsidRDefault="006E7C74" w:rsidP="006E7C74">
      <w:pPr>
        <w:pStyle w:val="ListParagraph"/>
        <w:numPr>
          <w:ilvl w:val="3"/>
          <w:numId w:val="19"/>
        </w:numPr>
      </w:pPr>
      <w:r w:rsidRPr="006E7C74">
        <w:lastRenderedPageBreak/>
        <w:t xml:space="preserve">Forest Stewardship Council (FSC) </w:t>
      </w:r>
    </w:p>
    <w:p w14:paraId="75C2ED59" w14:textId="4FFB9F42" w:rsidR="006E7C74" w:rsidRDefault="006E7C74" w:rsidP="006E7C74">
      <w:pPr>
        <w:pStyle w:val="ListParagraph"/>
        <w:numPr>
          <w:ilvl w:val="3"/>
          <w:numId w:val="19"/>
        </w:numPr>
      </w:pPr>
      <w:r w:rsidRPr="006E7C74">
        <w:t xml:space="preserve">SCS recycled-content claim verification </w:t>
      </w:r>
    </w:p>
    <w:p w14:paraId="0E4ACECB" w14:textId="02292F60" w:rsidR="006E7C74" w:rsidRDefault="00FE46BB" w:rsidP="006E7C74">
      <w:pPr>
        <w:ind w:left="2160"/>
      </w:pPr>
      <w:r>
        <w:t>–</w:t>
      </w:r>
      <w:r w:rsidR="006E7C74" w:rsidRPr="006E7C74">
        <w:t xml:space="preserve"> AND </w:t>
      </w:r>
      <w:r w:rsidR="006E7C74">
        <w:t>–</w:t>
      </w:r>
      <w:r w:rsidR="006E7C74" w:rsidRPr="006E7C74">
        <w:t xml:space="preserve"> </w:t>
      </w:r>
    </w:p>
    <w:p w14:paraId="78390F02" w14:textId="2684DB6E" w:rsidR="006E7C74" w:rsidRDefault="006D08BB" w:rsidP="006D08BB">
      <w:pPr>
        <w:ind w:firstLine="1800"/>
      </w:pPr>
      <w:r>
        <w:t>2)</w:t>
      </w:r>
      <w:r>
        <w:tab/>
      </w:r>
      <w:r w:rsidR="006E7C74" w:rsidRPr="006E7C74">
        <w:t>Make no antimicrobial claims or have any PVC (vinyl) components.</w:t>
      </w:r>
    </w:p>
    <w:p w14:paraId="6A57C5DE" w14:textId="0C410B96" w:rsidR="006E7C74" w:rsidRDefault="006E7C74" w:rsidP="004E5511">
      <w:pPr>
        <w:pStyle w:val="Heading2"/>
      </w:pPr>
      <w:bookmarkStart w:id="5" w:name="_Toc113363436"/>
      <w:r>
        <w:t>Non-Paper Office Products</w:t>
      </w:r>
      <w:bookmarkEnd w:id="5"/>
      <w:r>
        <w:t xml:space="preserve"> </w:t>
      </w:r>
    </w:p>
    <w:p w14:paraId="36663A02" w14:textId="77777777" w:rsidR="00FE46BB" w:rsidRPr="00FE46BB" w:rsidRDefault="00FE46BB" w:rsidP="00FE46BB"/>
    <w:p w14:paraId="5210F91E" w14:textId="207013B0" w:rsidR="006E7C74" w:rsidRDefault="006E7C74" w:rsidP="00923052">
      <w:pPr>
        <w:pStyle w:val="Heading3"/>
        <w:numPr>
          <w:ilvl w:val="0"/>
          <w:numId w:val="41"/>
        </w:numPr>
      </w:pPr>
      <w:r>
        <w:t xml:space="preserve">Batteries (in the following sizes: AA, AAA, C, D, and 9V) </w:t>
      </w:r>
    </w:p>
    <w:p w14:paraId="0A62A2E8" w14:textId="77777777" w:rsidR="006E7C74" w:rsidRDefault="006E7C74" w:rsidP="006E7C74">
      <w:pPr>
        <w:pStyle w:val="ListParagraph"/>
        <w:numPr>
          <w:ilvl w:val="0"/>
          <w:numId w:val="17"/>
        </w:numPr>
        <w:rPr>
          <w:i/>
          <w:iCs/>
        </w:rPr>
      </w:pPr>
      <w:r w:rsidRPr="006E7C74">
        <w:rPr>
          <w:i/>
          <w:iCs/>
        </w:rPr>
        <w:t>Batteries containing nickel cadmium (Ni-Cd), mercury, or lead are prohibited.</w:t>
      </w:r>
    </w:p>
    <w:p w14:paraId="39031E50" w14:textId="20E9B51F" w:rsidR="006E7C74" w:rsidRDefault="006E7C74" w:rsidP="006E7C74">
      <w:pPr>
        <w:pStyle w:val="ListParagraph"/>
        <w:numPr>
          <w:ilvl w:val="0"/>
          <w:numId w:val="17"/>
        </w:numPr>
      </w:pPr>
      <w:r>
        <w:t xml:space="preserve">The vendor must offer at least one brand of nickel-metal hydride (NiMH) rechargeable batteries in the following sizes: AA, AAA, C, D and 9V. </w:t>
      </w:r>
    </w:p>
    <w:p w14:paraId="40D631A4" w14:textId="743B3013" w:rsidR="006E7C74" w:rsidRDefault="006E7C74" w:rsidP="006E7C74">
      <w:pPr>
        <w:pStyle w:val="ListParagraph"/>
        <w:numPr>
          <w:ilvl w:val="0"/>
          <w:numId w:val="17"/>
        </w:numPr>
      </w:pPr>
      <w:r w:rsidRPr="006E7C74">
        <w:t xml:space="preserve">All rechargeable batteries must be clearly labeled as a green product in the vendor’s catalog and the power rating (in </w:t>
      </w:r>
      <w:proofErr w:type="spellStart"/>
      <w:r w:rsidRPr="006E7C74">
        <w:t>mAh</w:t>
      </w:r>
      <w:proofErr w:type="spellEnd"/>
      <w:r w:rsidRPr="006E7C74">
        <w:t>) of each rechargeable battery must be clearly indicated</w:t>
      </w:r>
    </w:p>
    <w:p w14:paraId="13B942E5" w14:textId="2561EE63" w:rsidR="006E7C74" w:rsidRDefault="006E7C74" w:rsidP="006E7C74">
      <w:pPr>
        <w:pStyle w:val="ListParagraph"/>
        <w:numPr>
          <w:ilvl w:val="0"/>
          <w:numId w:val="17"/>
        </w:numPr>
      </w:pPr>
      <w:r w:rsidRPr="006E7C74">
        <w:t>All</w:t>
      </w:r>
      <w:r>
        <w:t xml:space="preserve"> NiMH </w:t>
      </w:r>
      <w:r w:rsidRPr="006E7C74">
        <w:t xml:space="preserve">rechargeable batteries offered on the contract must meet the following minimum power ratings: </w:t>
      </w:r>
    </w:p>
    <w:p w14:paraId="6C650695" w14:textId="6A402515" w:rsidR="006E7C74" w:rsidRDefault="006E7C74" w:rsidP="006E7C74">
      <w:pPr>
        <w:pStyle w:val="ListParagraph"/>
        <w:numPr>
          <w:ilvl w:val="1"/>
          <w:numId w:val="17"/>
        </w:numPr>
      </w:pPr>
      <w:r w:rsidRPr="006E7C74">
        <w:t>AA: 2</w:t>
      </w:r>
      <w:r>
        <w:t>,</w:t>
      </w:r>
      <w:r w:rsidRPr="006E7C74">
        <w:t xml:space="preserve">500 </w:t>
      </w:r>
      <w:proofErr w:type="spellStart"/>
      <w:r w:rsidRPr="006E7C74">
        <w:t>mAh</w:t>
      </w:r>
      <w:proofErr w:type="spellEnd"/>
      <w:r w:rsidRPr="006E7C74">
        <w:t xml:space="preserve"> </w:t>
      </w:r>
    </w:p>
    <w:p w14:paraId="56F43E5C" w14:textId="080A5A16" w:rsidR="006E7C74" w:rsidRDefault="006E7C74" w:rsidP="006E7C74">
      <w:pPr>
        <w:pStyle w:val="ListParagraph"/>
        <w:numPr>
          <w:ilvl w:val="1"/>
          <w:numId w:val="17"/>
        </w:numPr>
      </w:pPr>
      <w:r w:rsidRPr="006E7C74">
        <w:t xml:space="preserve">AAA: 800 </w:t>
      </w:r>
      <w:proofErr w:type="spellStart"/>
      <w:r w:rsidRPr="006E7C74">
        <w:t>mAh</w:t>
      </w:r>
      <w:proofErr w:type="spellEnd"/>
      <w:r w:rsidRPr="006E7C74">
        <w:t xml:space="preserve"> </w:t>
      </w:r>
    </w:p>
    <w:p w14:paraId="102EC4E1" w14:textId="3D320CD2" w:rsidR="006E7C74" w:rsidRDefault="006E7C74" w:rsidP="006E7C74">
      <w:pPr>
        <w:pStyle w:val="ListParagraph"/>
        <w:numPr>
          <w:ilvl w:val="1"/>
          <w:numId w:val="17"/>
        </w:numPr>
      </w:pPr>
      <w:r>
        <w:t xml:space="preserve">C: 5,000 </w:t>
      </w:r>
      <w:proofErr w:type="spellStart"/>
      <w:r>
        <w:t>mAh</w:t>
      </w:r>
      <w:proofErr w:type="spellEnd"/>
    </w:p>
    <w:p w14:paraId="407E0CA7" w14:textId="4422AB35" w:rsidR="006E7C74" w:rsidRDefault="006E7C74" w:rsidP="006E7C74">
      <w:pPr>
        <w:pStyle w:val="ListParagraph"/>
        <w:numPr>
          <w:ilvl w:val="1"/>
          <w:numId w:val="17"/>
        </w:numPr>
      </w:pPr>
      <w:r w:rsidRPr="006E7C74">
        <w:t xml:space="preserve">D: 10,000 </w:t>
      </w:r>
      <w:proofErr w:type="spellStart"/>
      <w:r w:rsidRPr="006E7C74">
        <w:t>mAh</w:t>
      </w:r>
      <w:proofErr w:type="spellEnd"/>
      <w:r w:rsidRPr="006E7C74">
        <w:t xml:space="preserve"> </w:t>
      </w:r>
    </w:p>
    <w:p w14:paraId="0C499983" w14:textId="43209200" w:rsidR="006E7C74" w:rsidRDefault="006E7C74" w:rsidP="006E7C74">
      <w:pPr>
        <w:pStyle w:val="ListParagraph"/>
        <w:numPr>
          <w:ilvl w:val="1"/>
          <w:numId w:val="17"/>
        </w:numPr>
      </w:pPr>
      <w:r>
        <w:t xml:space="preserve">9V: 175 </w:t>
      </w:r>
      <w:proofErr w:type="spellStart"/>
      <w:r>
        <w:t>mAh</w:t>
      </w:r>
      <w:proofErr w:type="spellEnd"/>
    </w:p>
    <w:p w14:paraId="05AEFE64" w14:textId="77777777" w:rsidR="006E7C74" w:rsidRDefault="006E7C74" w:rsidP="006E7C74">
      <w:pPr>
        <w:pStyle w:val="ListParagraph"/>
        <w:ind w:left="2160"/>
      </w:pPr>
    </w:p>
    <w:p w14:paraId="6D02251C" w14:textId="603F0001" w:rsidR="006E7C74" w:rsidRDefault="006E7C74" w:rsidP="006E7C74">
      <w:pPr>
        <w:pStyle w:val="ListParagraph"/>
        <w:numPr>
          <w:ilvl w:val="0"/>
          <w:numId w:val="17"/>
        </w:numPr>
      </w:pPr>
      <w:r>
        <w:t>T</w:t>
      </w:r>
      <w:r w:rsidRPr="006E7C74">
        <w:t>he vendor must offer a FREE rechargeable battery recycling system on the contract.</w:t>
      </w:r>
    </w:p>
    <w:p w14:paraId="6BF014BB" w14:textId="77777777" w:rsidR="004E5511" w:rsidRDefault="004E5511" w:rsidP="004E5511">
      <w:pPr>
        <w:pStyle w:val="ListParagraph"/>
        <w:ind w:left="2160"/>
      </w:pPr>
    </w:p>
    <w:p w14:paraId="03177B8D" w14:textId="1E905FDD" w:rsidR="006E7C74" w:rsidRDefault="006E7C74" w:rsidP="004E5511">
      <w:pPr>
        <w:pStyle w:val="Heading3"/>
      </w:pPr>
      <w:r>
        <w:t xml:space="preserve">Binders </w:t>
      </w:r>
    </w:p>
    <w:p w14:paraId="23BA76EE" w14:textId="61803C7F" w:rsidR="006E7C74" w:rsidRDefault="006E7C74" w:rsidP="006E7C74">
      <w:pPr>
        <w:ind w:left="1440"/>
      </w:pPr>
      <w:r>
        <w:t xml:space="preserve">All binders must: </w:t>
      </w:r>
    </w:p>
    <w:p w14:paraId="0F9DACEE" w14:textId="37746ADA" w:rsidR="006E7C74" w:rsidRDefault="006E7C74" w:rsidP="006E7C74">
      <w:pPr>
        <w:pStyle w:val="ListParagraph"/>
        <w:numPr>
          <w:ilvl w:val="0"/>
          <w:numId w:val="23"/>
        </w:numPr>
      </w:pPr>
      <w:r>
        <w:t>Contain at least 25% post-consumer recycled content (PCRC</w:t>
      </w:r>
      <w:proofErr w:type="gramStart"/>
      <w:r>
        <w:t>);</w:t>
      </w:r>
      <w:proofErr w:type="gramEnd"/>
      <w:r>
        <w:t xml:space="preserve"> </w:t>
      </w:r>
    </w:p>
    <w:p w14:paraId="214644D2" w14:textId="4A38974C" w:rsidR="006E7C74" w:rsidRDefault="006E7C74" w:rsidP="006E7C74">
      <w:pPr>
        <w:pStyle w:val="ListParagraph"/>
        <w:ind w:left="2160"/>
      </w:pPr>
      <w:r>
        <w:t xml:space="preserve">-AND- </w:t>
      </w:r>
    </w:p>
    <w:p w14:paraId="78111692" w14:textId="74583920" w:rsidR="006E7C74" w:rsidRDefault="006E7C74" w:rsidP="006E7C74">
      <w:pPr>
        <w:pStyle w:val="ListParagraph"/>
        <w:numPr>
          <w:ilvl w:val="0"/>
          <w:numId w:val="23"/>
        </w:numPr>
      </w:pPr>
      <w:r>
        <w:t xml:space="preserve">Not contain vinyl (PVC) or antimicrobials </w:t>
      </w:r>
    </w:p>
    <w:p w14:paraId="77946FBE" w14:textId="77777777" w:rsidR="004E5511" w:rsidRDefault="004E5511" w:rsidP="004E5511">
      <w:pPr>
        <w:pStyle w:val="ListParagraph"/>
        <w:ind w:left="2160"/>
      </w:pPr>
    </w:p>
    <w:p w14:paraId="4F4F3252" w14:textId="7B79F80C" w:rsidR="006E7C74" w:rsidRDefault="006E7C74" w:rsidP="004E5511">
      <w:pPr>
        <w:pStyle w:val="Heading3"/>
      </w:pPr>
      <w:r>
        <w:t xml:space="preserve">Keyboard Cleaners </w:t>
      </w:r>
    </w:p>
    <w:p w14:paraId="112DCE03" w14:textId="49E28A4C" w:rsidR="006E7C74" w:rsidRDefault="006E7C74" w:rsidP="006E7C74">
      <w:pPr>
        <w:pStyle w:val="ListParagraph"/>
        <w:ind w:left="1440"/>
      </w:pPr>
      <w:r>
        <w:t xml:space="preserve">All keyboard cleaners: </w:t>
      </w:r>
    </w:p>
    <w:p w14:paraId="58E748C7" w14:textId="148FB440" w:rsidR="006E7C74" w:rsidRDefault="006E7C74" w:rsidP="006E7C74">
      <w:pPr>
        <w:pStyle w:val="ListParagraph"/>
        <w:numPr>
          <w:ilvl w:val="0"/>
          <w:numId w:val="23"/>
        </w:numPr>
      </w:pPr>
      <w:r>
        <w:t>Must not contain any fluorinated compounds (e.g., HFC 134a: 1,1,1,2-Tetrafluoroethane or HFC 152a: 1,1-Difluoroethane)</w:t>
      </w:r>
    </w:p>
    <w:p w14:paraId="6802C833" w14:textId="77777777" w:rsidR="004E5511" w:rsidRDefault="004E5511" w:rsidP="004E5511">
      <w:pPr>
        <w:pStyle w:val="ListParagraph"/>
        <w:ind w:left="2160"/>
      </w:pPr>
    </w:p>
    <w:p w14:paraId="6C2B5165" w14:textId="29385A74" w:rsidR="006E7C74" w:rsidRDefault="006E7C74" w:rsidP="004E5511">
      <w:pPr>
        <w:pStyle w:val="Heading3"/>
      </w:pPr>
      <w:r>
        <w:t xml:space="preserve">Packaging (except carboard boxes) </w:t>
      </w:r>
    </w:p>
    <w:p w14:paraId="71F2D27A" w14:textId="4DC73B45" w:rsidR="006E7C74" w:rsidRDefault="006E7C74" w:rsidP="006E7C74">
      <w:pPr>
        <w:pStyle w:val="ListParagraph"/>
        <w:numPr>
          <w:ilvl w:val="1"/>
          <w:numId w:val="18"/>
        </w:numPr>
      </w:pPr>
      <w:r>
        <w:t xml:space="preserve">No polystyrene products (e.g., polystyrene peanuts) or plastic bubble wrap may be offered on this contract. </w:t>
      </w:r>
    </w:p>
    <w:p w14:paraId="6F39B1BC" w14:textId="77777777" w:rsidR="004E5511" w:rsidRDefault="004E5511" w:rsidP="004E5511">
      <w:pPr>
        <w:pStyle w:val="ListParagraph"/>
        <w:ind w:left="2160"/>
      </w:pPr>
    </w:p>
    <w:p w14:paraId="42C38F14" w14:textId="12E07495" w:rsidR="006E7C74" w:rsidRDefault="006E7C74" w:rsidP="004E5511">
      <w:pPr>
        <w:pStyle w:val="Heading3"/>
      </w:pPr>
      <w:r w:rsidRPr="004E5511">
        <w:t>Pens</w:t>
      </w:r>
      <w:r>
        <w:t xml:space="preserve"> </w:t>
      </w:r>
    </w:p>
    <w:p w14:paraId="47E52BFB" w14:textId="24C0987F" w:rsidR="006E7C74" w:rsidRDefault="006E7C74" w:rsidP="006E7C74">
      <w:pPr>
        <w:pStyle w:val="ListParagraph"/>
        <w:ind w:left="1440"/>
      </w:pPr>
      <w:r>
        <w:t xml:space="preserve">All pens must: </w:t>
      </w:r>
    </w:p>
    <w:p w14:paraId="516AA992" w14:textId="097E2E78" w:rsidR="006E7C74" w:rsidRDefault="006E7C74" w:rsidP="00716A34">
      <w:pPr>
        <w:pStyle w:val="ListParagraph"/>
        <w:numPr>
          <w:ilvl w:val="2"/>
          <w:numId w:val="18"/>
        </w:numPr>
        <w:ind w:left="2160"/>
      </w:pPr>
      <w:r>
        <w:lastRenderedPageBreak/>
        <w:t>Be refillable (or be a refill) and the vendor must offer the refill</w:t>
      </w:r>
      <w:r w:rsidR="005E53AC">
        <w:t xml:space="preserve"> OR</w:t>
      </w:r>
      <w:r>
        <w:t xml:space="preserve"> </w:t>
      </w:r>
    </w:p>
    <w:p w14:paraId="1AE867D6" w14:textId="77777777" w:rsidR="005E53AC" w:rsidRDefault="005E53AC" w:rsidP="005E53AC">
      <w:pPr>
        <w:pStyle w:val="ListParagraph"/>
        <w:ind w:left="2160"/>
      </w:pPr>
      <w:r>
        <w:t>h</w:t>
      </w:r>
      <w:r w:rsidR="006E7C74">
        <w:t xml:space="preserve">ave at least 30% post-consumer recycled content (PCRC) </w:t>
      </w:r>
      <w:r>
        <w:t>OR</w:t>
      </w:r>
      <w:r w:rsidR="006E7C74">
        <w:t xml:space="preserve"> at least 50% total recycled content (TRC); </w:t>
      </w:r>
      <w:r>
        <w:t>and</w:t>
      </w:r>
    </w:p>
    <w:p w14:paraId="7C6047D0" w14:textId="35838E0D" w:rsidR="006E7C74" w:rsidRDefault="006E7C74" w:rsidP="005E53AC">
      <w:pPr>
        <w:pStyle w:val="ListParagraph"/>
        <w:numPr>
          <w:ilvl w:val="2"/>
          <w:numId w:val="18"/>
        </w:numPr>
        <w:ind w:left="2160"/>
      </w:pPr>
      <w:r>
        <w:t xml:space="preserve">Not contain vinyl (PVC) or antimicrobials </w:t>
      </w:r>
    </w:p>
    <w:p w14:paraId="10AFD403" w14:textId="77777777" w:rsidR="004E5511" w:rsidRDefault="004E5511" w:rsidP="004E5511">
      <w:pPr>
        <w:pStyle w:val="ListParagraph"/>
        <w:ind w:left="2160"/>
      </w:pPr>
    </w:p>
    <w:p w14:paraId="74BA6EBA" w14:textId="3A250535" w:rsidR="006E7C74" w:rsidRDefault="006E7C74" w:rsidP="004E5511">
      <w:pPr>
        <w:pStyle w:val="Heading3"/>
      </w:pPr>
      <w:r>
        <w:t xml:space="preserve">Toner Cartridges </w:t>
      </w:r>
    </w:p>
    <w:p w14:paraId="07992999" w14:textId="337F37AB" w:rsidR="00480AF5" w:rsidRDefault="006E7C74" w:rsidP="00480AF5">
      <w:pPr>
        <w:pStyle w:val="ListParagraph"/>
        <w:numPr>
          <w:ilvl w:val="0"/>
          <w:numId w:val="42"/>
        </w:numPr>
      </w:pPr>
      <w:r>
        <w:t xml:space="preserve">The vendor may only offer environmentally preferable toner cartridges on this contract, except when there are none available for a specific piece of imaging equipment. </w:t>
      </w:r>
    </w:p>
    <w:p w14:paraId="328779C2" w14:textId="0A3C5A22" w:rsidR="00480AF5" w:rsidRDefault="00480AF5" w:rsidP="00480AF5">
      <w:pPr>
        <w:pStyle w:val="ListParagraph"/>
        <w:numPr>
          <w:ilvl w:val="0"/>
          <w:numId w:val="42"/>
        </w:numPr>
      </w:pPr>
      <w:r>
        <w:t xml:space="preserve">Single-use new built cartridges (i.e., compatibles) are prohibited. </w:t>
      </w:r>
    </w:p>
    <w:p w14:paraId="34613E30" w14:textId="4AC87765" w:rsidR="006E7C74" w:rsidRDefault="006E7C74" w:rsidP="00480AF5">
      <w:pPr>
        <w:pStyle w:val="ListParagraph"/>
        <w:numPr>
          <w:ilvl w:val="0"/>
          <w:numId w:val="42"/>
        </w:numPr>
      </w:pPr>
      <w:r>
        <w:t xml:space="preserve">Environmentally preferable toner cartridges are defined as that which is: </w:t>
      </w:r>
    </w:p>
    <w:p w14:paraId="405D5A65" w14:textId="1DDC636F" w:rsidR="006E7C74" w:rsidRDefault="006E7C74" w:rsidP="006E7C74">
      <w:pPr>
        <w:pStyle w:val="ListParagraph"/>
        <w:numPr>
          <w:ilvl w:val="0"/>
          <w:numId w:val="24"/>
        </w:numPr>
      </w:pPr>
      <w:r>
        <w:t xml:space="preserve">Single-use new built cartridges (i.e., compatibles) are prohibited. </w:t>
      </w:r>
    </w:p>
    <w:p w14:paraId="603E8A60" w14:textId="11568C9F" w:rsidR="006E7C74" w:rsidRDefault="006E7C74" w:rsidP="006E7C74">
      <w:pPr>
        <w:pStyle w:val="ListParagraph"/>
        <w:numPr>
          <w:ilvl w:val="0"/>
          <w:numId w:val="24"/>
        </w:numPr>
      </w:pPr>
      <w:r>
        <w:t>Remanufactured (which is consistent with the US EPA’s Comprehensive Procurement Guidelines) by a company that is STMC-</w:t>
      </w:r>
      <w:proofErr w:type="gramStart"/>
      <w:r>
        <w:t>certified;</w:t>
      </w:r>
      <w:proofErr w:type="gramEnd"/>
      <w:r>
        <w:t xml:space="preserve"> </w:t>
      </w:r>
    </w:p>
    <w:p w14:paraId="1E2742AC" w14:textId="141EBC82" w:rsidR="006E7C74" w:rsidRDefault="006E7C74" w:rsidP="006E7C74">
      <w:pPr>
        <w:pStyle w:val="ListParagraph"/>
        <w:ind w:left="2160"/>
      </w:pPr>
      <w:r>
        <w:t xml:space="preserve">- OR – </w:t>
      </w:r>
    </w:p>
    <w:p w14:paraId="1A41A63E" w14:textId="77777777" w:rsidR="006E7C74" w:rsidRDefault="006E7C74" w:rsidP="006E7C74">
      <w:pPr>
        <w:pStyle w:val="ListParagraph"/>
        <w:numPr>
          <w:ilvl w:val="0"/>
          <w:numId w:val="24"/>
        </w:numPr>
      </w:pPr>
      <w:r>
        <w:t xml:space="preserve">“High yield” (often labeled with one of the following codes: X, XL, XLL, HY, XHY, etc.) </w:t>
      </w:r>
    </w:p>
    <w:p w14:paraId="57B6D66C" w14:textId="053D1014" w:rsidR="006E7C74" w:rsidRDefault="006E7C74" w:rsidP="00480AF5">
      <w:pPr>
        <w:pStyle w:val="ListParagraph"/>
        <w:numPr>
          <w:ilvl w:val="0"/>
          <w:numId w:val="42"/>
        </w:numPr>
      </w:pPr>
      <w:r>
        <w:t xml:space="preserve">Toner cartridge products that have been tested to be compliant with one or more of the following indoor air quality standards or certifications must be labeled as such: </w:t>
      </w:r>
    </w:p>
    <w:p w14:paraId="26390B45" w14:textId="1059BE13" w:rsidR="006E7C74" w:rsidRDefault="006E7C74" w:rsidP="00480AF5">
      <w:pPr>
        <w:pStyle w:val="ListParagraph"/>
        <w:numPr>
          <w:ilvl w:val="1"/>
          <w:numId w:val="42"/>
        </w:numPr>
      </w:pPr>
      <w:r>
        <w:t xml:space="preserve">EPEAT 4.10.1.1 Indoor Air Quality Emission </w:t>
      </w:r>
      <w:proofErr w:type="gramStart"/>
      <w:r>
        <w:t>Requirements</w:t>
      </w:r>
      <w:r w:rsidR="00480AF5">
        <w:t>;</w:t>
      </w:r>
      <w:proofErr w:type="gramEnd"/>
      <w:r>
        <w:t xml:space="preserve"> </w:t>
      </w:r>
    </w:p>
    <w:p w14:paraId="6E242811" w14:textId="5269C483" w:rsidR="006E7C74" w:rsidRDefault="006E7C74" w:rsidP="00480AF5">
      <w:pPr>
        <w:pStyle w:val="ListParagraph"/>
        <w:numPr>
          <w:ilvl w:val="1"/>
          <w:numId w:val="42"/>
        </w:numPr>
      </w:pPr>
      <w:r>
        <w:t>Nordic Swan</w:t>
      </w:r>
      <w:r w:rsidR="00480AF5">
        <w:t>; or</w:t>
      </w:r>
    </w:p>
    <w:p w14:paraId="031C9F03" w14:textId="04131C27" w:rsidR="006E7C74" w:rsidRDefault="006E7C74" w:rsidP="00480AF5">
      <w:pPr>
        <w:pStyle w:val="ListParagraph"/>
        <w:numPr>
          <w:ilvl w:val="1"/>
          <w:numId w:val="42"/>
        </w:numPr>
      </w:pPr>
      <w:r>
        <w:t>Blue Angel</w:t>
      </w:r>
      <w:r w:rsidR="00480AF5">
        <w:t>.</w:t>
      </w:r>
      <w:r>
        <w:t xml:space="preserve"> </w:t>
      </w:r>
    </w:p>
    <w:p w14:paraId="166EAEF1" w14:textId="77777777" w:rsidR="006E7C74" w:rsidRDefault="006E7C74" w:rsidP="00480AF5">
      <w:pPr>
        <w:pStyle w:val="ListParagraph"/>
        <w:numPr>
          <w:ilvl w:val="0"/>
          <w:numId w:val="42"/>
        </w:numPr>
      </w:pPr>
      <w:r>
        <w:t xml:space="preserve">The vendor must offer a FREE cartridge recycling system for each product offered on the contract and the vendor’s cartridge recycling system must send its spent cartridges to a remanufacturer or to a manufacturer that meets the following EPEAT criteria: </w:t>
      </w:r>
    </w:p>
    <w:p w14:paraId="6A83979C" w14:textId="0343D8C0" w:rsidR="006E7C74" w:rsidRDefault="006E7C74" w:rsidP="00480AF5">
      <w:pPr>
        <w:pStyle w:val="ListParagraph"/>
        <w:numPr>
          <w:ilvl w:val="1"/>
          <w:numId w:val="42"/>
        </w:numPr>
      </w:pPr>
      <w:r>
        <w:t xml:space="preserve"> EPEAT 4.9.3.1</w:t>
      </w:r>
      <w:r w:rsidR="00480AF5">
        <w:t>-</w:t>
      </w:r>
      <w:r>
        <w:t xml:space="preserve"> Provision of take-back and recycling service for cartridges and containers (includes process restrictions and reporting requirement</w:t>
      </w:r>
      <w:proofErr w:type="gramStart"/>
      <w:r>
        <w:t>)</w:t>
      </w:r>
      <w:r w:rsidR="00480AF5">
        <w:t>;</w:t>
      </w:r>
      <w:proofErr w:type="gramEnd"/>
      <w:r w:rsidR="00480AF5">
        <w:t xml:space="preserve"> </w:t>
      </w:r>
      <w:r>
        <w:t xml:space="preserve"> </w:t>
      </w:r>
    </w:p>
    <w:p w14:paraId="23A9D379" w14:textId="0AC53AA8" w:rsidR="006E7C74" w:rsidRDefault="006E7C74" w:rsidP="00480AF5">
      <w:pPr>
        <w:pStyle w:val="ListParagraph"/>
        <w:numPr>
          <w:ilvl w:val="1"/>
          <w:numId w:val="42"/>
        </w:numPr>
      </w:pPr>
      <w:r>
        <w:t>EPEAT 4.9.3.2</w:t>
      </w:r>
      <w:r w:rsidR="00480AF5">
        <w:t>-</w:t>
      </w:r>
      <w:r>
        <w:t xml:space="preserve"> Manufacturer recycles or reuses all toner material collected through its cartridge and container take-back program</w:t>
      </w:r>
      <w:r w:rsidR="00480AF5">
        <w:t>; or</w:t>
      </w:r>
      <w:r>
        <w:t xml:space="preserve"> </w:t>
      </w:r>
    </w:p>
    <w:p w14:paraId="76EB3B28" w14:textId="377B0633" w:rsidR="006E7C74" w:rsidRDefault="006E7C74" w:rsidP="00480AF5">
      <w:pPr>
        <w:pStyle w:val="ListParagraph"/>
        <w:numPr>
          <w:ilvl w:val="1"/>
          <w:numId w:val="42"/>
        </w:numPr>
      </w:pPr>
      <w:r>
        <w:t>EPEAT 4.9.3.3</w:t>
      </w:r>
      <w:r w:rsidR="00480AF5">
        <w:t>-</w:t>
      </w:r>
      <w:r>
        <w:t xml:space="preserve"> Manufacturer recycles or reuses all plastic collected through its cartridge and container take-back program Manufacturers and remanufacturers must also provide annual reporting of their recycling program metrics.</w:t>
      </w:r>
    </w:p>
    <w:p w14:paraId="783E6CEC" w14:textId="77777777" w:rsidR="004E5511" w:rsidRDefault="004E5511" w:rsidP="004E5511">
      <w:pPr>
        <w:pStyle w:val="ListParagraph"/>
        <w:ind w:left="2160"/>
      </w:pPr>
    </w:p>
    <w:p w14:paraId="276DA450" w14:textId="7E6F37FF" w:rsidR="006E7C74" w:rsidRDefault="006E7C74" w:rsidP="004E5511">
      <w:pPr>
        <w:pStyle w:val="Heading3"/>
      </w:pPr>
      <w:r w:rsidRPr="004E5511">
        <w:t>Whiteboard</w:t>
      </w:r>
      <w:r>
        <w:t xml:space="preserve"> Markers and Cleaners</w:t>
      </w:r>
    </w:p>
    <w:p w14:paraId="0BC43D15" w14:textId="29E08271" w:rsidR="006E7C74" w:rsidRDefault="006E7C74" w:rsidP="006E7C74">
      <w:pPr>
        <w:pStyle w:val="ListParagraph"/>
        <w:numPr>
          <w:ilvl w:val="0"/>
          <w:numId w:val="26"/>
        </w:numPr>
      </w:pPr>
      <w:r>
        <w:t xml:space="preserve">All whiteboard markers must be Certified AP Nontoxic (i.e., on the ACMI list with an Approved Product (AP) designation. </w:t>
      </w:r>
    </w:p>
    <w:p w14:paraId="4D22AE08" w14:textId="77777777" w:rsidR="006E7C74" w:rsidRDefault="006E7C74" w:rsidP="006E7C74">
      <w:pPr>
        <w:pStyle w:val="ListParagraph"/>
        <w:numPr>
          <w:ilvl w:val="0"/>
          <w:numId w:val="26"/>
        </w:numPr>
      </w:pPr>
      <w:r>
        <w:t xml:space="preserve">All whiteboard cleaners must be EITHER: </w:t>
      </w:r>
    </w:p>
    <w:p w14:paraId="002029D5" w14:textId="77777777" w:rsidR="006E7C74" w:rsidRDefault="006E7C74" w:rsidP="006E7C74">
      <w:pPr>
        <w:pStyle w:val="ListParagraph"/>
        <w:numPr>
          <w:ilvl w:val="1"/>
          <w:numId w:val="26"/>
        </w:numPr>
      </w:pPr>
      <w:r>
        <w:t xml:space="preserve">Certified by US EPA’s Safer Choice </w:t>
      </w:r>
      <w:proofErr w:type="gramStart"/>
      <w:r>
        <w:t>Program;</w:t>
      </w:r>
      <w:proofErr w:type="gramEnd"/>
      <w:r>
        <w:t xml:space="preserve"> </w:t>
      </w:r>
    </w:p>
    <w:p w14:paraId="60EC3C7D" w14:textId="6BFE9FB6" w:rsidR="006E7C74" w:rsidRDefault="006E7C74" w:rsidP="006E7C74">
      <w:pPr>
        <w:pStyle w:val="ListParagraph"/>
        <w:ind w:left="2880"/>
      </w:pPr>
      <w:r>
        <w:t xml:space="preserve">- OR – </w:t>
      </w:r>
    </w:p>
    <w:p w14:paraId="3B32CAAA" w14:textId="2EFEC87D" w:rsidR="004E5511" w:rsidRDefault="006E7C74" w:rsidP="003C6FCF">
      <w:pPr>
        <w:pStyle w:val="ListParagraph"/>
        <w:numPr>
          <w:ilvl w:val="1"/>
          <w:numId w:val="26"/>
        </w:numPr>
      </w:pPr>
      <w:r>
        <w:t>Certified AP Nontoxic</w:t>
      </w:r>
    </w:p>
    <w:p w14:paraId="51A09F84" w14:textId="388BEF3A" w:rsidR="006E7C74" w:rsidRDefault="006E7C74" w:rsidP="004E5511">
      <w:pPr>
        <w:pStyle w:val="Heading2"/>
      </w:pPr>
      <w:bookmarkStart w:id="6" w:name="_Toc113363437"/>
      <w:r>
        <w:lastRenderedPageBreak/>
        <w:t>Office Electronics and Furniture</w:t>
      </w:r>
      <w:bookmarkEnd w:id="6"/>
      <w:r>
        <w:t xml:space="preserve"> </w:t>
      </w:r>
    </w:p>
    <w:p w14:paraId="6B654734" w14:textId="5C43AFB9" w:rsidR="00FE46BB" w:rsidRPr="00FE46BB" w:rsidRDefault="00FE46BB" w:rsidP="00FE46BB"/>
    <w:p w14:paraId="24F90224" w14:textId="359EDCFA" w:rsidR="006E7C74" w:rsidRDefault="006E7C74" w:rsidP="004E5511">
      <w:pPr>
        <w:pStyle w:val="Heading3"/>
        <w:numPr>
          <w:ilvl w:val="0"/>
          <w:numId w:val="35"/>
        </w:numPr>
      </w:pPr>
      <w:r>
        <w:t xml:space="preserve">Desk </w:t>
      </w:r>
      <w:r w:rsidRPr="004E5511">
        <w:t>Lamps</w:t>
      </w:r>
      <w:r>
        <w:t xml:space="preserve"> </w:t>
      </w:r>
    </w:p>
    <w:p w14:paraId="2A902DFA" w14:textId="160A555B" w:rsidR="006E7C74" w:rsidRDefault="006E7C74" w:rsidP="006E7C74">
      <w:pPr>
        <w:pStyle w:val="ListParagraph"/>
        <w:numPr>
          <w:ilvl w:val="0"/>
          <w:numId w:val="27"/>
        </w:numPr>
      </w:pPr>
      <w:r>
        <w:t xml:space="preserve">Desk lamps that use fluorescent, halogen, or incandescent lamps are prohibited. </w:t>
      </w:r>
    </w:p>
    <w:p w14:paraId="3B293DE7" w14:textId="77777777" w:rsidR="00561AE5" w:rsidRDefault="006E7C74" w:rsidP="006E7C74">
      <w:pPr>
        <w:pStyle w:val="ListParagraph"/>
        <w:numPr>
          <w:ilvl w:val="0"/>
          <w:numId w:val="27"/>
        </w:numPr>
      </w:pPr>
      <w:r>
        <w:t>All desk lamps must</w:t>
      </w:r>
      <w:r w:rsidR="00561AE5">
        <w:t>:</w:t>
      </w:r>
    </w:p>
    <w:p w14:paraId="32226772" w14:textId="389D732E" w:rsidR="00561AE5" w:rsidRDefault="006E7C74" w:rsidP="00561AE5">
      <w:pPr>
        <w:pStyle w:val="ListParagraph"/>
        <w:numPr>
          <w:ilvl w:val="3"/>
          <w:numId w:val="18"/>
        </w:numPr>
        <w:ind w:left="2520"/>
      </w:pPr>
      <w:r>
        <w:t xml:space="preserve">use LEDs as their light source; </w:t>
      </w:r>
      <w:r w:rsidR="00561AE5">
        <w:t>and</w:t>
      </w:r>
    </w:p>
    <w:p w14:paraId="51E50080" w14:textId="449E2F95" w:rsidR="006E7C74" w:rsidRDefault="00561AE5" w:rsidP="00561AE5">
      <w:pPr>
        <w:pStyle w:val="ListParagraph"/>
        <w:numPr>
          <w:ilvl w:val="3"/>
          <w:numId w:val="18"/>
        </w:numPr>
        <w:ind w:left="2520"/>
      </w:pPr>
      <w:r>
        <w:t>b</w:t>
      </w:r>
      <w:r w:rsidR="006E7C74">
        <w:t xml:space="preserve">e on the ENERGY STAR list. </w:t>
      </w:r>
    </w:p>
    <w:p w14:paraId="5639B936" w14:textId="77777777" w:rsidR="004E5511" w:rsidRDefault="004E5511" w:rsidP="004E5511">
      <w:pPr>
        <w:pStyle w:val="ListParagraph"/>
        <w:ind w:left="2160"/>
      </w:pPr>
    </w:p>
    <w:p w14:paraId="73B8934B" w14:textId="07CA6472" w:rsidR="006E7C74" w:rsidRDefault="006E7C74" w:rsidP="004E5511">
      <w:pPr>
        <w:pStyle w:val="Heading3"/>
      </w:pPr>
      <w:r w:rsidRPr="004E5511">
        <w:t>Flashlights</w:t>
      </w:r>
      <w:r>
        <w:t xml:space="preserve"> </w:t>
      </w:r>
    </w:p>
    <w:p w14:paraId="7A7C1372" w14:textId="2DE309B7" w:rsidR="006E7C74" w:rsidRDefault="006E7C74" w:rsidP="006E7C74">
      <w:pPr>
        <w:pStyle w:val="ListParagraph"/>
        <w:ind w:left="1440"/>
      </w:pPr>
      <w:r>
        <w:t xml:space="preserve">All flashlights must: </w:t>
      </w:r>
    </w:p>
    <w:p w14:paraId="79F87C68" w14:textId="64CDF215" w:rsidR="006E7C74" w:rsidRDefault="006E7C74" w:rsidP="00561AE5">
      <w:pPr>
        <w:pStyle w:val="ListParagraph"/>
        <w:numPr>
          <w:ilvl w:val="0"/>
          <w:numId w:val="43"/>
        </w:numPr>
      </w:pPr>
      <w:r>
        <w:t xml:space="preserve">Use LEDs as their light </w:t>
      </w:r>
      <w:proofErr w:type="gramStart"/>
      <w:r>
        <w:t>source;</w:t>
      </w:r>
      <w:proofErr w:type="gramEnd"/>
      <w:r>
        <w:t xml:space="preserve"> </w:t>
      </w:r>
    </w:p>
    <w:p w14:paraId="2948B72E" w14:textId="5B503CE2" w:rsidR="006E7C74" w:rsidRDefault="006E7C74" w:rsidP="00561AE5">
      <w:pPr>
        <w:pStyle w:val="ListParagraph"/>
        <w:numPr>
          <w:ilvl w:val="0"/>
          <w:numId w:val="43"/>
        </w:numPr>
      </w:pPr>
      <w:r>
        <w:t>Be rechargeable (</w:t>
      </w:r>
      <w:proofErr w:type="gramStart"/>
      <w:r>
        <w:t>i.e.</w:t>
      </w:r>
      <w:proofErr w:type="gramEnd"/>
      <w:r>
        <w:t xml:space="preserve"> have a built-in recharging system</w:t>
      </w:r>
      <w:r w:rsidR="00561AE5">
        <w:t>)</w:t>
      </w:r>
      <w:r>
        <w:t xml:space="preserve">; </w:t>
      </w:r>
      <w:r w:rsidR="00561AE5">
        <w:t>and</w:t>
      </w:r>
    </w:p>
    <w:p w14:paraId="623382A0" w14:textId="7F83421A" w:rsidR="006E7C74" w:rsidRDefault="006E7C74" w:rsidP="00561AE5">
      <w:pPr>
        <w:pStyle w:val="ListParagraph"/>
        <w:numPr>
          <w:ilvl w:val="0"/>
          <w:numId w:val="43"/>
        </w:numPr>
      </w:pPr>
      <w:r>
        <w:t xml:space="preserve">Not contain </w:t>
      </w:r>
      <w:proofErr w:type="spellStart"/>
      <w:r>
        <w:t>ni</w:t>
      </w:r>
      <w:proofErr w:type="spellEnd"/>
      <w:r>
        <w:t xml:space="preserve">-cad or lead acid rechargeable batteries. </w:t>
      </w:r>
    </w:p>
    <w:p w14:paraId="698BD874" w14:textId="77777777" w:rsidR="004E5511" w:rsidRDefault="004E5511" w:rsidP="004E5511">
      <w:pPr>
        <w:pStyle w:val="ListParagraph"/>
        <w:ind w:left="2160"/>
      </w:pPr>
    </w:p>
    <w:p w14:paraId="1886DE16" w14:textId="36FBD026" w:rsidR="006E7C74" w:rsidRDefault="006E7C74" w:rsidP="004E5511">
      <w:pPr>
        <w:pStyle w:val="Heading3"/>
      </w:pPr>
      <w:r>
        <w:t xml:space="preserve">Office Chairs </w:t>
      </w:r>
    </w:p>
    <w:p w14:paraId="2850BE03" w14:textId="7FD4A4CA" w:rsidR="006E7C74" w:rsidRDefault="006E7C74" w:rsidP="00561AE5">
      <w:pPr>
        <w:pStyle w:val="ListParagraph"/>
        <w:numPr>
          <w:ilvl w:val="0"/>
          <w:numId w:val="44"/>
        </w:numPr>
      </w:pPr>
      <w:r>
        <w:t xml:space="preserve">All office chairs must have one of the following third-party certifications: </w:t>
      </w:r>
    </w:p>
    <w:p w14:paraId="459BDA19" w14:textId="598B6548" w:rsidR="006E7C74" w:rsidRDefault="006E7C74" w:rsidP="006E7C74">
      <w:pPr>
        <w:pStyle w:val="ListParagraph"/>
        <w:numPr>
          <w:ilvl w:val="2"/>
          <w:numId w:val="28"/>
        </w:numPr>
      </w:pPr>
      <w:r>
        <w:t>UL GREENGUARD Gold (</w:t>
      </w:r>
      <w:proofErr w:type="gramStart"/>
      <w:r>
        <w:t>low-emitting</w:t>
      </w:r>
      <w:proofErr w:type="gramEnd"/>
      <w:r>
        <w:t>)</w:t>
      </w:r>
      <w:r w:rsidR="00561AE5">
        <w:t>;</w:t>
      </w:r>
    </w:p>
    <w:p w14:paraId="2545E8E7" w14:textId="5AAFC9B5" w:rsidR="006E7C74" w:rsidRDefault="006E7C74" w:rsidP="006E7C74">
      <w:pPr>
        <w:pStyle w:val="ListParagraph"/>
        <w:numPr>
          <w:ilvl w:val="2"/>
          <w:numId w:val="28"/>
        </w:numPr>
      </w:pPr>
      <w:r>
        <w:t>SCS Indoor Advantage Gold (</w:t>
      </w:r>
      <w:proofErr w:type="gramStart"/>
      <w:r>
        <w:t>low-emitting</w:t>
      </w:r>
      <w:proofErr w:type="gramEnd"/>
      <w:r>
        <w:t>)</w:t>
      </w:r>
      <w:r w:rsidR="00561AE5">
        <w:t>;</w:t>
      </w:r>
      <w:r>
        <w:t xml:space="preserve"> </w:t>
      </w:r>
    </w:p>
    <w:p w14:paraId="3176F161" w14:textId="0FC13138" w:rsidR="006E7C74" w:rsidRDefault="006E7C74" w:rsidP="006E7C74">
      <w:pPr>
        <w:pStyle w:val="ListParagraph"/>
        <w:numPr>
          <w:ilvl w:val="2"/>
          <w:numId w:val="28"/>
        </w:numPr>
      </w:pPr>
      <w:r>
        <w:t>MAS Certified Green (</w:t>
      </w:r>
      <w:proofErr w:type="gramStart"/>
      <w:r>
        <w:t>low-emitting</w:t>
      </w:r>
      <w:proofErr w:type="gramEnd"/>
      <w:r>
        <w:t>)</w:t>
      </w:r>
      <w:r w:rsidR="00561AE5">
        <w:t>;</w:t>
      </w:r>
      <w:r>
        <w:t xml:space="preserve"> </w:t>
      </w:r>
    </w:p>
    <w:p w14:paraId="4DA0A5F2" w14:textId="1BE38DB7" w:rsidR="006E7C74" w:rsidRDefault="006E7C74" w:rsidP="006E7C74">
      <w:pPr>
        <w:pStyle w:val="ListParagraph"/>
        <w:numPr>
          <w:ilvl w:val="2"/>
          <w:numId w:val="28"/>
        </w:numPr>
      </w:pPr>
      <w:r>
        <w:t>Intertek Clean Air Gold (</w:t>
      </w:r>
      <w:proofErr w:type="gramStart"/>
      <w:r>
        <w:t>low-emitting</w:t>
      </w:r>
      <w:proofErr w:type="gramEnd"/>
      <w:r>
        <w:t>)</w:t>
      </w:r>
      <w:r w:rsidR="00561AE5">
        <w:t>;</w:t>
      </w:r>
      <w:r>
        <w:t xml:space="preserve"> </w:t>
      </w:r>
    </w:p>
    <w:p w14:paraId="5E93ED5D" w14:textId="7CCB2D2C" w:rsidR="006E7C74" w:rsidRDefault="006E7C74" w:rsidP="006E7C74">
      <w:pPr>
        <w:pStyle w:val="ListParagraph"/>
        <w:numPr>
          <w:ilvl w:val="2"/>
          <w:numId w:val="28"/>
        </w:numPr>
      </w:pPr>
      <w:r>
        <w:t xml:space="preserve">BIFMA LEVEL 1 or </w:t>
      </w:r>
      <w:proofErr w:type="gramStart"/>
      <w:r>
        <w:t>higher</w:t>
      </w:r>
      <w:r w:rsidR="00561AE5">
        <w:t>;</w:t>
      </w:r>
      <w:proofErr w:type="gramEnd"/>
      <w:r>
        <w:t xml:space="preserve"> </w:t>
      </w:r>
    </w:p>
    <w:p w14:paraId="03F87311" w14:textId="2EE9DB33" w:rsidR="006E7C74" w:rsidRDefault="006E7C74" w:rsidP="006E7C74">
      <w:pPr>
        <w:pStyle w:val="ListParagraph"/>
        <w:numPr>
          <w:ilvl w:val="2"/>
          <w:numId w:val="28"/>
        </w:numPr>
      </w:pPr>
      <w:r>
        <w:t>Cradle to Cradle Certified or Material Health Certificate (at the silver level or higher</w:t>
      </w:r>
      <w:proofErr w:type="gramStart"/>
      <w:r>
        <w:t>)</w:t>
      </w:r>
      <w:r w:rsidR="00561AE5">
        <w:t>;</w:t>
      </w:r>
      <w:proofErr w:type="gramEnd"/>
      <w:r w:rsidR="00561AE5">
        <w:t xml:space="preserve"> OR</w:t>
      </w:r>
      <w:r>
        <w:t xml:space="preserve"> </w:t>
      </w:r>
    </w:p>
    <w:p w14:paraId="0A0EB156" w14:textId="77BD2051" w:rsidR="006E7C74" w:rsidRDefault="006E7C74" w:rsidP="006E7C74">
      <w:pPr>
        <w:pStyle w:val="ListParagraph"/>
        <w:numPr>
          <w:ilvl w:val="2"/>
          <w:numId w:val="28"/>
        </w:numPr>
      </w:pPr>
      <w:r>
        <w:t>International Living Future Institute Declare Red List-Free</w:t>
      </w:r>
      <w:r w:rsidR="00561AE5">
        <w:t>.</w:t>
      </w:r>
      <w:r>
        <w:t xml:space="preserve"> </w:t>
      </w:r>
    </w:p>
    <w:p w14:paraId="50CF1A8C" w14:textId="06CC8D19" w:rsidR="006E7C74" w:rsidRDefault="006E7C74" w:rsidP="004E5511">
      <w:pPr>
        <w:pStyle w:val="ListParagraph"/>
        <w:ind w:left="2160"/>
      </w:pPr>
    </w:p>
    <w:p w14:paraId="009FDB23" w14:textId="77777777" w:rsidR="00561AE5" w:rsidRDefault="006E7C74" w:rsidP="00561AE5">
      <w:pPr>
        <w:pStyle w:val="ListParagraph"/>
        <w:numPr>
          <w:ilvl w:val="0"/>
          <w:numId w:val="44"/>
        </w:numPr>
      </w:pPr>
      <w:r>
        <w:t xml:space="preserve">The product must not have a “Prop 65 warning” about known human carcinogens and reproductive toxins. </w:t>
      </w:r>
    </w:p>
    <w:p w14:paraId="73C0C7A7" w14:textId="77777777" w:rsidR="00561AE5" w:rsidRDefault="006E7C74" w:rsidP="00561AE5">
      <w:pPr>
        <w:pStyle w:val="ListParagraph"/>
        <w:numPr>
          <w:ilvl w:val="0"/>
          <w:numId w:val="44"/>
        </w:numPr>
      </w:pPr>
      <w:r>
        <w:t xml:space="preserve">Upholstered products shall meet Technical Bulletin 117-2013 (California’s furniture flammability standard) and must comply with the labeling requirements of California Senate Bill 1019, which was passed on September 30, 2014, and requires a label indicating whether the product contains or does not contain added flame retardants. </w:t>
      </w:r>
    </w:p>
    <w:p w14:paraId="15FEB3AD" w14:textId="2BDA60D0" w:rsidR="006E7C74" w:rsidRPr="004E5511" w:rsidRDefault="006E7C74" w:rsidP="00561AE5">
      <w:pPr>
        <w:pStyle w:val="ListParagraph"/>
        <w:numPr>
          <w:ilvl w:val="0"/>
          <w:numId w:val="44"/>
        </w:numPr>
      </w:pPr>
      <w:r>
        <w:t xml:space="preserve">Products must also meet the emission requirements of BIFMA e3 criterion 7.6.2 or equivalent. </w:t>
      </w:r>
      <w:r w:rsidRPr="006E7C74">
        <w:t xml:space="preserve"> </w:t>
      </w:r>
      <w:r w:rsidRPr="00561AE5">
        <w:rPr>
          <w:i/>
          <w:iCs/>
        </w:rPr>
        <w:t xml:space="preserve"> </w:t>
      </w:r>
    </w:p>
    <w:p w14:paraId="30080D0E" w14:textId="77777777" w:rsidR="006E7C74" w:rsidRPr="006E7C74" w:rsidRDefault="006E7C74" w:rsidP="006E7C74">
      <w:pPr>
        <w:ind w:left="1440"/>
      </w:pPr>
    </w:p>
    <w:p w14:paraId="292F5DDE" w14:textId="77777777" w:rsidR="005B0109" w:rsidRPr="00694C4B" w:rsidRDefault="00F442BE" w:rsidP="006D5A1C">
      <w:pPr>
        <w:pStyle w:val="Heading1"/>
        <w:spacing w:before="240"/>
      </w:pPr>
      <w:bookmarkStart w:id="7" w:name="_Toc113363438"/>
      <w:r w:rsidRPr="007B3619">
        <w:t>ENVIRONMENTALLY PREFERABLE PURCHASING LANGUAGE</w:t>
      </w:r>
      <w:bookmarkEnd w:id="7"/>
    </w:p>
    <w:p w14:paraId="1930CA0B" w14:textId="2BB926A6" w:rsidR="005B0109" w:rsidRPr="00F442BE" w:rsidRDefault="00F442BE" w:rsidP="00F442BE">
      <w:pPr>
        <w:ind w:left="-72"/>
        <w:rPr>
          <w:color w:val="FF0000"/>
        </w:rPr>
      </w:pPr>
      <w:r w:rsidRPr="00EB3A27">
        <w:rPr>
          <w:color w:val="FF0000"/>
        </w:rPr>
        <w:t xml:space="preserve">Instruction to Procurement Officers: </w:t>
      </w:r>
      <w:r>
        <w:rPr>
          <w:color w:val="FF0000"/>
        </w:rPr>
        <w:t xml:space="preserve">Please include the following language </w:t>
      </w:r>
      <w:r w:rsidR="00561AE5">
        <w:rPr>
          <w:color w:val="FF0000"/>
        </w:rPr>
        <w:t>in</w:t>
      </w:r>
      <w:r>
        <w:rPr>
          <w:color w:val="FF0000"/>
        </w:rPr>
        <w:t xml:space="preserve"> your solicitation if it does not already exist.</w:t>
      </w:r>
    </w:p>
    <w:p w14:paraId="7FC3CAE7" w14:textId="77777777" w:rsidR="005B0109" w:rsidRPr="00694C4B" w:rsidRDefault="00930530" w:rsidP="00A5640B">
      <w:pPr>
        <w:pStyle w:val="Heading2"/>
        <w:numPr>
          <w:ilvl w:val="0"/>
          <w:numId w:val="14"/>
        </w:numPr>
        <w:spacing w:before="120"/>
        <w:ind w:left="360"/>
      </w:pPr>
      <w:bookmarkStart w:id="8" w:name="_Toc113363439"/>
      <w:r w:rsidRPr="00694C4B">
        <w:lastRenderedPageBreak/>
        <w:t>On Environmentally Preferable Purchasing:</w:t>
      </w:r>
      <w:bookmarkEnd w:id="8"/>
      <w:r w:rsidRPr="00694C4B">
        <w:t xml:space="preserve"> </w:t>
      </w:r>
    </w:p>
    <w:p w14:paraId="154C07FE" w14:textId="77777777" w:rsidR="005B0109" w:rsidRPr="00694C4B" w:rsidRDefault="00930530" w:rsidP="00BA00E2">
      <w:pPr>
        <w:spacing w:after="120" w:line="259" w:lineRule="auto"/>
        <w:ind w:left="720"/>
        <w:rPr>
          <w:rFonts w:eastAsia="Calibri"/>
        </w:rPr>
      </w:pPr>
      <w:r w:rsidRPr="00694C4B">
        <w:rPr>
          <w:rFonts w:eastAsia="Calibri"/>
          <w:b/>
        </w:rPr>
        <w:t xml:space="preserve">The State of Maryland is committed to purchasing environmentally preferable products and services (EPPs). </w:t>
      </w:r>
      <w:r w:rsidRPr="00694C4B">
        <w:rPr>
          <w:rFonts w:eastAsia="Calibri"/>
        </w:rPr>
        <w:t xml:space="preserve">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 </w:t>
      </w:r>
    </w:p>
    <w:p w14:paraId="1799F6BC" w14:textId="77777777" w:rsidR="005B0109" w:rsidRPr="00694C4B" w:rsidRDefault="00930530" w:rsidP="009A2EDD">
      <w:pPr>
        <w:pStyle w:val="Heading2"/>
        <w:spacing w:before="120"/>
      </w:pPr>
      <w:bookmarkStart w:id="9" w:name="_Toc113363440"/>
      <w:r w:rsidRPr="00694C4B">
        <w:t>On Maryland’s Green Purchasing Reporting Requirements:</w:t>
      </w:r>
      <w:bookmarkEnd w:id="9"/>
      <w:r w:rsidRPr="00694C4B">
        <w:t xml:space="preserve"> </w:t>
      </w:r>
    </w:p>
    <w:p w14:paraId="089B5980" w14:textId="77777777" w:rsidR="005B0109" w:rsidRPr="00694C4B" w:rsidRDefault="00930530" w:rsidP="00BA00E2">
      <w:pPr>
        <w:spacing w:after="120" w:line="259" w:lineRule="auto"/>
        <w:ind w:left="720"/>
        <w:rPr>
          <w:rFonts w:eastAsia="Calibri"/>
        </w:rPr>
      </w:pPr>
      <w:bookmarkStart w:id="10" w:name="_gjdgxs" w:colFirst="0" w:colLast="0"/>
      <w:bookmarkEnd w:id="10"/>
      <w:r w:rsidRPr="00694C4B">
        <w:rPr>
          <w:rFonts w:eastAsia="Calibri"/>
          <w:b/>
        </w:rPr>
        <w:t>The State of Maryland requires, at a minimum, from the Contractor annual sales data over the life of this contract; the State also reserves the right to request quarterly sales data over the life of this contract.</w:t>
      </w:r>
      <w:r w:rsidRPr="00694C4B">
        <w:rPr>
          <w:rFonts w:eastAsia="Calibri"/>
        </w:rPr>
        <w:t xml:space="preserve"> </w:t>
      </w:r>
    </w:p>
    <w:p w14:paraId="4AC536C0" w14:textId="77777777" w:rsidR="005B0109" w:rsidRPr="00694C4B" w:rsidRDefault="00930530" w:rsidP="00D653D3">
      <w:pPr>
        <w:spacing w:after="120" w:line="259" w:lineRule="auto"/>
        <w:ind w:left="720"/>
        <w:rPr>
          <w:rFonts w:eastAsia="Calibri"/>
        </w:rPr>
      </w:pPr>
      <w:bookmarkStart w:id="11" w:name="_ckeeb1dxirfe" w:colFirst="0" w:colLast="0"/>
      <w:bookmarkEnd w:id="11"/>
      <w:r w:rsidRPr="00694C4B">
        <w:rPr>
          <w:rFonts w:eastAsia="Calibri"/>
        </w:rPr>
        <w:t xml:space="preserve">The report shall include at a </w:t>
      </w:r>
      <w:proofErr w:type="gramStart"/>
      <w:r w:rsidRPr="00694C4B">
        <w:rPr>
          <w:rFonts w:eastAsia="Calibri"/>
        </w:rPr>
        <w:t>minimum details</w:t>
      </w:r>
      <w:proofErr w:type="gramEnd"/>
      <w:r w:rsidRPr="00694C4B">
        <w:rPr>
          <w:rFonts w:eastAsia="Calibri"/>
        </w:rPr>
        <w:t xml:space="preserve"> about the third-party sustainability certifications and other environmental attributes of products and services sold on this price agreement per the contract specifications.</w:t>
      </w:r>
    </w:p>
    <w:p w14:paraId="0AD246E2" w14:textId="77777777" w:rsidR="005B0109" w:rsidRPr="00694C4B" w:rsidRDefault="00930530" w:rsidP="00D653D3">
      <w:pPr>
        <w:spacing w:after="120" w:line="259" w:lineRule="auto"/>
        <w:ind w:left="720"/>
        <w:rPr>
          <w:rFonts w:eastAsia="Calibri"/>
          <w:i/>
          <w:sz w:val="16"/>
          <w:szCs w:val="16"/>
        </w:rPr>
      </w:pPr>
      <w:r w:rsidRPr="00694C4B">
        <w:rPr>
          <w:rFonts w:eastAsia="Calibri"/>
        </w:rPr>
        <w:t>To facilitate consistent reporting on this contract, the Contractor will be provided with a VENDOR GREEN SALES REPORT template from the Green Purchasing Committee (GPC), the Office of State Procurement (OSP) or the Department of General Services (DGS).</w:t>
      </w:r>
    </w:p>
    <w:p w14:paraId="5D23ADE0" w14:textId="77777777" w:rsidR="00F442BE" w:rsidRPr="00CF1619" w:rsidRDefault="00F442BE" w:rsidP="00F442BE">
      <w:pPr>
        <w:pStyle w:val="Heading2"/>
        <w:spacing w:before="120"/>
      </w:pPr>
      <w:bookmarkStart w:id="12" w:name="_Toc113363441"/>
      <w:r w:rsidRPr="00CF1619">
        <w:t>On Environmental Claims</w:t>
      </w:r>
      <w:bookmarkEnd w:id="12"/>
      <w:r w:rsidRPr="00CF1619">
        <w:t xml:space="preserve"> </w:t>
      </w:r>
    </w:p>
    <w:p w14:paraId="20F4BE91" w14:textId="2B30B406" w:rsidR="004E5511" w:rsidRDefault="00F442BE" w:rsidP="004E5511">
      <w:pPr>
        <w:ind w:left="792"/>
        <w:rPr>
          <w:b/>
        </w:rPr>
      </w:pPr>
      <w:r w:rsidRPr="007B3619">
        <w:rPr>
          <w:b/>
        </w:rPr>
        <w:t xml:space="preserve">All environmental benefit claims made by the Contractor concerning products or services offered on this contract must be consistent with the </w:t>
      </w:r>
      <w:hyperlink r:id="rId17" w:history="1">
        <w:r w:rsidRPr="007B3619">
          <w:rPr>
            <w:rStyle w:val="Hyperlink"/>
            <w:b/>
          </w:rPr>
          <w:t xml:space="preserve">Federal Trade Commission’s </w:t>
        </w:r>
        <w:r w:rsidRPr="007B3619">
          <w:rPr>
            <w:rStyle w:val="Hyperlink"/>
            <w:b/>
            <w:i/>
          </w:rPr>
          <w:t>Guidelines for the Use of Environmental Marketing Claims</w:t>
        </w:r>
      </w:hyperlink>
      <w:r w:rsidR="00FE20E1">
        <w:rPr>
          <w:b/>
        </w:rPr>
        <w:t>.</w:t>
      </w:r>
    </w:p>
    <w:p w14:paraId="68FB23F0" w14:textId="7455CECB" w:rsidR="004E5511" w:rsidRPr="00FE20E1" w:rsidRDefault="004E5511" w:rsidP="004E5511">
      <w:pPr>
        <w:pStyle w:val="Heading2"/>
        <w:numPr>
          <w:ilvl w:val="0"/>
          <w:numId w:val="0"/>
        </w:numPr>
        <w:ind w:left="360" w:hanging="360"/>
      </w:pPr>
    </w:p>
    <w:p w14:paraId="6908A9BA" w14:textId="77777777" w:rsidR="006C7F81" w:rsidRDefault="006C7F81" w:rsidP="006C7F81">
      <w:r>
        <w:br/>
      </w:r>
    </w:p>
    <w:p w14:paraId="0C644633" w14:textId="77777777" w:rsidR="006C7F81" w:rsidRDefault="006C7F81" w:rsidP="006C7F81"/>
    <w:p w14:paraId="7DE5CF24" w14:textId="77777777" w:rsidR="006C7F81" w:rsidRDefault="006C7F81" w:rsidP="006C7F81"/>
    <w:p w14:paraId="74489641" w14:textId="77777777" w:rsidR="006C7F81" w:rsidRDefault="006C7F81" w:rsidP="006C7F81"/>
    <w:p w14:paraId="1FB93752" w14:textId="77777777" w:rsidR="006C7F81" w:rsidRDefault="006C7F81" w:rsidP="006C7F81"/>
    <w:p w14:paraId="1F8C1A6F" w14:textId="77777777" w:rsidR="006C7F81" w:rsidRDefault="006C7F81" w:rsidP="006C7F81"/>
    <w:p w14:paraId="5CDEDF67" w14:textId="77777777" w:rsidR="006C7F81" w:rsidRDefault="006C7F81" w:rsidP="006C7F81"/>
    <w:p w14:paraId="084949EC" w14:textId="77777777" w:rsidR="00EE3A9F" w:rsidRPr="00EE3A9F" w:rsidRDefault="00EE3A9F" w:rsidP="00EE3A9F">
      <w:pPr>
        <w:rPr>
          <w:b/>
        </w:rPr>
      </w:pPr>
    </w:p>
    <w:sectPr w:rsidR="00EE3A9F" w:rsidRPr="00EE3A9F">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5855" w14:textId="77777777" w:rsidR="001029EF" w:rsidRDefault="001029EF">
      <w:r>
        <w:separator/>
      </w:r>
    </w:p>
  </w:endnote>
  <w:endnote w:type="continuationSeparator" w:id="0">
    <w:p w14:paraId="0DC14520" w14:textId="77777777" w:rsidR="001029EF" w:rsidRDefault="0010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C96C" w14:textId="461D7366" w:rsidR="005B0109" w:rsidRPr="009D5649" w:rsidRDefault="009D5649" w:rsidP="009D5649">
    <w:pPr>
      <w:pStyle w:val="Footer"/>
      <w:tabs>
        <w:tab w:val="clear" w:pos="4680"/>
        <w:tab w:val="center" w:pos="5040"/>
      </w:tabs>
      <w:ind w:left="-720" w:right="-720"/>
    </w:pPr>
    <w:r w:rsidRPr="00D453BF">
      <w:rPr>
        <w:noProof/>
      </w:rPr>
      <w:drawing>
        <wp:anchor distT="0" distB="0" distL="114300" distR="114300" simplePos="0" relativeHeight="251659264" behindDoc="1" locked="0" layoutInCell="1" allowOverlap="1" wp14:anchorId="53B4B5B8" wp14:editId="56AC272A">
          <wp:simplePos x="0" y="0"/>
          <wp:positionH relativeFrom="column">
            <wp:posOffset>5920740</wp:posOffset>
          </wp:positionH>
          <wp:positionV relativeFrom="paragraph">
            <wp:posOffset>-355600</wp:posOffset>
          </wp:positionV>
          <wp:extent cx="733425" cy="641350"/>
          <wp:effectExtent l="0" t="0" r="9525" b="6350"/>
          <wp:wrapTight wrapText="bothSides">
            <wp:wrapPolygon edited="0">
              <wp:start x="0" y="0"/>
              <wp:lineTo x="0" y="21172"/>
              <wp:lineTo x="21319" y="21172"/>
              <wp:lineTo x="2131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641350"/>
                  </a:xfrm>
                  <a:prstGeom prst="rect">
                    <a:avLst/>
                  </a:prstGeom>
                </pic:spPr>
              </pic:pic>
            </a:graphicData>
          </a:graphic>
        </wp:anchor>
      </w:drawing>
    </w:r>
    <w:r w:rsidR="004E5511">
      <w:rPr>
        <w:noProof/>
      </w:rPr>
      <w:t>Re</w:t>
    </w:r>
    <w:r w:rsidRPr="00D453BF">
      <w:rPr>
        <w:noProof/>
      </w:rPr>
      <w:t xml:space="preserve">issued: </w:t>
    </w:r>
    <w:r w:rsidR="00FE46BB">
      <w:rPr>
        <w:noProof/>
      </w:rPr>
      <w:t xml:space="preserve">November </w:t>
    </w:r>
    <w:r w:rsidRPr="00D453BF">
      <w:rPr>
        <w:noProof/>
      </w:rPr>
      <w:t>202</w:t>
    </w:r>
    <w:r w:rsidR="004E5511">
      <w:rPr>
        <w:noProof/>
      </w:rPr>
      <w:t>2</w:t>
    </w:r>
    <w:r w:rsidRPr="00D453BF">
      <w:rPr>
        <w:noProof/>
      </w:rPr>
      <w:t xml:space="preserve"> </w:t>
    </w:r>
    <w:sdt>
      <w:sdtPr>
        <w:id w:val="-1795367159"/>
        <w:docPartObj>
          <w:docPartGallery w:val="Page Numbers (Bottom of Page)"/>
          <w:docPartUnique/>
        </w:docPartObj>
      </w:sdtPr>
      <w:sdtEndPr>
        <w:rPr>
          <w:noProof/>
        </w:rPr>
      </w:sdtEndPr>
      <w:sdtContent>
        <w:r w:rsidRPr="00D453BF">
          <w:t xml:space="preserve">                               </w:t>
        </w:r>
        <w:r>
          <w:t xml:space="preserve">         </w:t>
        </w:r>
        <w:r w:rsidRPr="00D453BF">
          <w:fldChar w:fldCharType="begin"/>
        </w:r>
        <w:r w:rsidRPr="00D453BF">
          <w:instrText xml:space="preserve"> PAGE   \* MERGEFORMAT </w:instrText>
        </w:r>
        <w:r w:rsidRPr="00D453BF">
          <w:fldChar w:fldCharType="separate"/>
        </w:r>
        <w:r w:rsidR="00B2149B">
          <w:rPr>
            <w:noProof/>
          </w:rPr>
          <w:t>6</w:t>
        </w:r>
        <w:r w:rsidRPr="00D453BF">
          <w:rPr>
            <w:noProof/>
          </w:rPr>
          <w:fldChar w:fldCharType="end"/>
        </w:r>
        <w:r w:rsidRPr="00D453BF">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29EA" w14:textId="77777777" w:rsidR="001029EF" w:rsidRDefault="001029EF">
      <w:r>
        <w:separator/>
      </w:r>
    </w:p>
  </w:footnote>
  <w:footnote w:type="continuationSeparator" w:id="0">
    <w:p w14:paraId="0FC05D05" w14:textId="77777777" w:rsidR="001029EF" w:rsidRDefault="0010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BF34" w14:textId="77777777" w:rsidR="00F46553" w:rsidRDefault="00F46553" w:rsidP="00F46553">
    <w:pPr>
      <w:spacing w:after="160" w:line="259" w:lineRule="auto"/>
      <w:jc w:val="center"/>
      <w:rPr>
        <w:rFonts w:ascii="Calibri" w:eastAsia="Calibri" w:hAnsi="Calibri" w:cs="Calibri"/>
        <w:b/>
      </w:rPr>
    </w:pPr>
    <w:r>
      <w:rPr>
        <w:noProof/>
      </w:rPr>
      <w:drawing>
        <wp:anchor distT="0" distB="0" distL="114300" distR="114300" simplePos="0" relativeHeight="251661312" behindDoc="1" locked="0" layoutInCell="1" allowOverlap="1" wp14:anchorId="2CFC0180" wp14:editId="5AD25FDE">
          <wp:simplePos x="0" y="0"/>
          <wp:positionH relativeFrom="column">
            <wp:posOffset>-754351</wp:posOffset>
          </wp:positionH>
          <wp:positionV relativeFrom="paragraph">
            <wp:posOffset>-265430</wp:posOffset>
          </wp:positionV>
          <wp:extent cx="1290771" cy="55245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771" cy="552450"/>
                  </a:xfrm>
                  <a:prstGeom prst="rect">
                    <a:avLst/>
                  </a:prstGeom>
                  <a:noFill/>
                  <a:ln>
                    <a:noFill/>
                  </a:ln>
                </pic:spPr>
              </pic:pic>
            </a:graphicData>
          </a:graphic>
        </wp:anchor>
      </w:drawing>
    </w:r>
  </w:p>
  <w:p w14:paraId="7EDBF884" w14:textId="77777777" w:rsidR="00F46553" w:rsidRPr="00906C1E" w:rsidRDefault="00F46553" w:rsidP="00F46553">
    <w:pPr>
      <w:spacing w:after="80" w:line="259" w:lineRule="auto"/>
      <w:jc w:val="center"/>
      <w:rPr>
        <w:rFonts w:ascii="Calibri" w:eastAsia="Calibri" w:hAnsi="Calibri" w:cs="Calibri"/>
        <w:b/>
        <w:sz w:val="14"/>
      </w:rPr>
    </w:pPr>
  </w:p>
  <w:p w14:paraId="5DB3F227" w14:textId="7E8F1EF1" w:rsidR="005B0109" w:rsidRPr="00DB72B6" w:rsidRDefault="00930530" w:rsidP="00DB72B6">
    <w:pPr>
      <w:spacing w:after="160" w:line="259" w:lineRule="auto"/>
      <w:jc w:val="center"/>
      <w:rPr>
        <w:rFonts w:eastAsia="Calibri"/>
        <w:b/>
      </w:rPr>
    </w:pPr>
    <w:r w:rsidRPr="00694C4B">
      <w:rPr>
        <w:rFonts w:eastAsia="Calibri"/>
        <w:b/>
      </w:rPr>
      <w:t xml:space="preserve">Maryland Green Purchasing Committee Approved Specification </w:t>
    </w:r>
    <w:r w:rsidR="006C7F81">
      <w:rPr>
        <w:rFonts w:eastAsia="Calibri"/>
        <w:b/>
      </w:rPr>
      <w:t>–</w:t>
    </w:r>
    <w:r w:rsidRPr="00694C4B">
      <w:rPr>
        <w:rFonts w:eastAsia="Calibri"/>
        <w:b/>
      </w:rPr>
      <w:t xml:space="preserve"> </w:t>
    </w:r>
    <w:r w:rsidR="006E7C74">
      <w:rPr>
        <w:rFonts w:eastAsia="Calibri"/>
        <w:b/>
      </w:rPr>
      <w:t>Office Supplies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numFmt w:val="bullet"/>
      <w:lvlText w:val=""/>
      <w:lvlJc w:val="left"/>
      <w:pPr>
        <w:ind w:left="1332" w:hanging="360"/>
      </w:pPr>
      <w:rPr>
        <w:rFonts w:ascii="Wingdings" w:hAnsi="Wingdings"/>
        <w:b w:val="0"/>
        <w:i w:val="0"/>
        <w:w w:val="100"/>
        <w:sz w:val="24"/>
      </w:rPr>
    </w:lvl>
    <w:lvl w:ilvl="1">
      <w:numFmt w:val="bullet"/>
      <w:lvlText w:val="•"/>
      <w:lvlJc w:val="left"/>
      <w:pPr>
        <w:ind w:left="2276" w:hanging="360"/>
      </w:pPr>
    </w:lvl>
    <w:lvl w:ilvl="2">
      <w:numFmt w:val="bullet"/>
      <w:lvlText w:val="•"/>
      <w:lvlJc w:val="left"/>
      <w:pPr>
        <w:ind w:left="3212" w:hanging="360"/>
      </w:pPr>
    </w:lvl>
    <w:lvl w:ilvl="3">
      <w:numFmt w:val="bullet"/>
      <w:lvlText w:val="•"/>
      <w:lvlJc w:val="left"/>
      <w:pPr>
        <w:ind w:left="4148" w:hanging="360"/>
      </w:pPr>
    </w:lvl>
    <w:lvl w:ilvl="4">
      <w:numFmt w:val="bullet"/>
      <w:lvlText w:val="•"/>
      <w:lvlJc w:val="left"/>
      <w:pPr>
        <w:ind w:left="5084" w:hanging="360"/>
      </w:pPr>
    </w:lvl>
    <w:lvl w:ilvl="5">
      <w:numFmt w:val="bullet"/>
      <w:lvlText w:val="•"/>
      <w:lvlJc w:val="left"/>
      <w:pPr>
        <w:ind w:left="6020" w:hanging="360"/>
      </w:pPr>
    </w:lvl>
    <w:lvl w:ilvl="6">
      <w:numFmt w:val="bullet"/>
      <w:lvlText w:val="•"/>
      <w:lvlJc w:val="left"/>
      <w:pPr>
        <w:ind w:left="6956" w:hanging="360"/>
      </w:pPr>
    </w:lvl>
    <w:lvl w:ilvl="7">
      <w:numFmt w:val="bullet"/>
      <w:lvlText w:val="•"/>
      <w:lvlJc w:val="left"/>
      <w:pPr>
        <w:ind w:left="7892" w:hanging="360"/>
      </w:pPr>
    </w:lvl>
    <w:lvl w:ilvl="8">
      <w:numFmt w:val="bullet"/>
      <w:lvlText w:val="•"/>
      <w:lvlJc w:val="left"/>
      <w:pPr>
        <w:ind w:left="8828" w:hanging="360"/>
      </w:pPr>
    </w:lvl>
  </w:abstractNum>
  <w:abstractNum w:abstractNumId="1" w15:restartNumberingAfterBreak="0">
    <w:nsid w:val="02E64D98"/>
    <w:multiLevelType w:val="hybridMultilevel"/>
    <w:tmpl w:val="DC2299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2DE"/>
    <w:multiLevelType w:val="hybridMultilevel"/>
    <w:tmpl w:val="6700C2EA"/>
    <w:lvl w:ilvl="0" w:tplc="FFFFFFFF">
      <w:start w:val="1"/>
      <w:numFmt w:val="upperRoman"/>
      <w:lvlText w:val="%1."/>
      <w:lvlJc w:val="left"/>
      <w:pPr>
        <w:ind w:left="1440" w:hanging="720"/>
      </w:pPr>
      <w:rPr>
        <w:rFonts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3F2A09"/>
    <w:multiLevelType w:val="hybridMultilevel"/>
    <w:tmpl w:val="B5D402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1E5601"/>
    <w:multiLevelType w:val="hybridMultilevel"/>
    <w:tmpl w:val="AC409976"/>
    <w:lvl w:ilvl="0" w:tplc="9D9CFE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A71A1"/>
    <w:multiLevelType w:val="hybridMultilevel"/>
    <w:tmpl w:val="D86098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4A65BE"/>
    <w:multiLevelType w:val="hybridMultilevel"/>
    <w:tmpl w:val="62781CDC"/>
    <w:lvl w:ilvl="0" w:tplc="2BD61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C4736"/>
    <w:multiLevelType w:val="multilevel"/>
    <w:tmpl w:val="8E68B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1"/>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C412F7"/>
    <w:multiLevelType w:val="hybridMultilevel"/>
    <w:tmpl w:val="9174B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31406"/>
    <w:multiLevelType w:val="hybridMultilevel"/>
    <w:tmpl w:val="7C1CDDAA"/>
    <w:lvl w:ilvl="0" w:tplc="931E6104">
      <w:start w:val="1"/>
      <w:numFmt w:val="upperLetter"/>
      <w:lvlText w:val="%1."/>
      <w:lvlJc w:val="left"/>
      <w:pPr>
        <w:ind w:left="1800" w:hanging="360"/>
      </w:pPr>
      <w:rPr>
        <w:rFonts w:hint="default"/>
      </w:rPr>
    </w:lvl>
    <w:lvl w:ilvl="1" w:tplc="04090011">
      <w:start w:val="1"/>
      <w:numFmt w:val="decimal"/>
      <w:lvlText w:val="%2)"/>
      <w:lvlJc w:val="left"/>
      <w:pPr>
        <w:ind w:left="21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BC54C5"/>
    <w:multiLevelType w:val="hybridMultilevel"/>
    <w:tmpl w:val="951CE6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C34711"/>
    <w:multiLevelType w:val="multilevel"/>
    <w:tmpl w:val="344A8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AE025E"/>
    <w:multiLevelType w:val="hybridMultilevel"/>
    <w:tmpl w:val="15F6C550"/>
    <w:lvl w:ilvl="0" w:tplc="5D642F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516AC9"/>
    <w:multiLevelType w:val="multilevel"/>
    <w:tmpl w:val="AC2A5604"/>
    <w:lvl w:ilvl="0">
      <w:start w:val="1"/>
      <w:numFmt w:val="bullet"/>
      <w:lvlText w:val=""/>
      <w:lvlJc w:val="left"/>
      <w:pPr>
        <w:ind w:left="720" w:hanging="360"/>
      </w:pPr>
      <w:rPr>
        <w:rFonts w:ascii="Wingdings" w:hAnsi="Wingdings"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C80F28"/>
    <w:multiLevelType w:val="hybridMultilevel"/>
    <w:tmpl w:val="E406809C"/>
    <w:lvl w:ilvl="0" w:tplc="04090011">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F76604"/>
    <w:multiLevelType w:val="multilevel"/>
    <w:tmpl w:val="2B28187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B365F7"/>
    <w:multiLevelType w:val="hybridMultilevel"/>
    <w:tmpl w:val="4E7A299A"/>
    <w:lvl w:ilvl="0" w:tplc="DA628F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ED23272"/>
    <w:multiLevelType w:val="hybridMultilevel"/>
    <w:tmpl w:val="6700C2EA"/>
    <w:lvl w:ilvl="0" w:tplc="FFFFFFFF">
      <w:start w:val="1"/>
      <w:numFmt w:val="upperRoman"/>
      <w:lvlText w:val="%1."/>
      <w:lvlJc w:val="left"/>
      <w:pPr>
        <w:ind w:left="1440" w:hanging="720"/>
      </w:pPr>
      <w:rPr>
        <w:rFonts w:hint="default"/>
      </w:rPr>
    </w:lvl>
    <w:lvl w:ilvl="1" w:tplc="FFFFFFFF">
      <w:start w:val="1"/>
      <w:numFmt w:val="bullet"/>
      <w:lvlText w:val=""/>
      <w:lvlJc w:val="left"/>
      <w:pPr>
        <w:ind w:left="216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F77676B"/>
    <w:multiLevelType w:val="hybridMultilevel"/>
    <w:tmpl w:val="6890B516"/>
    <w:lvl w:ilvl="0" w:tplc="670E1820">
      <w:start w:val="1"/>
      <w:numFmt w:val="upperRoman"/>
      <w:lvlText w:val="%1."/>
      <w:lvlJc w:val="left"/>
      <w:pPr>
        <w:ind w:left="1440" w:hanging="720"/>
      </w:pPr>
      <w:rPr>
        <w:rFonts w:hint="default"/>
      </w:rPr>
    </w:lvl>
    <w:lvl w:ilvl="1" w:tplc="04090001">
      <w:start w:val="1"/>
      <w:numFmt w:val="bullet"/>
      <w:lvlText w:val=""/>
      <w:lvlJc w:val="left"/>
      <w:pPr>
        <w:ind w:left="2160" w:hanging="360"/>
      </w:pPr>
      <w:rPr>
        <w:rFonts w:ascii="Symbol" w:hAnsi="Symbol" w:hint="default"/>
      </w:rPr>
    </w:lvl>
    <w:lvl w:ilvl="2" w:tplc="F496AD5C">
      <w:start w:val="1"/>
      <w:numFmt w:val="upperLetter"/>
      <w:lvlText w:val="%3."/>
      <w:lvlJc w:val="left"/>
      <w:pPr>
        <w:ind w:left="2700" w:hanging="360"/>
      </w:pPr>
      <w:rPr>
        <w:rFonts w:hint="default"/>
      </w:rPr>
    </w:lvl>
    <w:lvl w:ilvl="3" w:tplc="B79423E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B95957"/>
    <w:multiLevelType w:val="hybridMultilevel"/>
    <w:tmpl w:val="440004D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D434293"/>
    <w:multiLevelType w:val="multilevel"/>
    <w:tmpl w:val="7A8A709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C41150"/>
    <w:multiLevelType w:val="hybridMultilevel"/>
    <w:tmpl w:val="B66A8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DD47118"/>
    <w:multiLevelType w:val="hybridMultilevel"/>
    <w:tmpl w:val="1B4219DA"/>
    <w:lvl w:ilvl="0" w:tplc="46F82722">
      <w:start w:val="1"/>
      <w:numFmt w:val="bullet"/>
      <w:lvlText w:val=""/>
      <w:lvlJc w:val="left"/>
      <w:pPr>
        <w:ind w:left="648" w:hanging="360"/>
      </w:pPr>
      <w:rPr>
        <w:rFonts w:ascii="Wingdings" w:hAnsi="Wingdings" w:hint="default"/>
        <w:sz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4E2F28DD"/>
    <w:multiLevelType w:val="hybridMultilevel"/>
    <w:tmpl w:val="DF487F0E"/>
    <w:lvl w:ilvl="0" w:tplc="CD861ED2">
      <w:start w:val="1"/>
      <w:numFmt w:val="upperLetter"/>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4547DC"/>
    <w:multiLevelType w:val="hybridMultilevel"/>
    <w:tmpl w:val="BF60606E"/>
    <w:lvl w:ilvl="0" w:tplc="BED201B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C35AB"/>
    <w:multiLevelType w:val="hybridMultilevel"/>
    <w:tmpl w:val="761C7918"/>
    <w:lvl w:ilvl="0" w:tplc="FB489B9E">
      <w:start w:val="1"/>
      <w:numFmt w:val="upperLetter"/>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6" w15:restartNumberingAfterBreak="0">
    <w:nsid w:val="6AF872C4"/>
    <w:multiLevelType w:val="multilevel"/>
    <w:tmpl w:val="4D42515C"/>
    <w:lvl w:ilvl="0">
      <w:start w:val="1"/>
      <w:numFmt w:val="decimal"/>
      <w:lvlText w:val="%1."/>
      <w:lvlJc w:val="left"/>
      <w:pPr>
        <w:ind w:left="360" w:hanging="360"/>
      </w:pPr>
      <w:rPr>
        <w:rFonts w:ascii="Calibri" w:eastAsia="Calibri" w:hAnsi="Calibri" w:cs="Calibri"/>
        <w:b/>
        <w:sz w:val="28"/>
        <w:szCs w:val="28"/>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E20233D"/>
    <w:multiLevelType w:val="hybridMultilevel"/>
    <w:tmpl w:val="31D0544C"/>
    <w:lvl w:ilvl="0" w:tplc="FFFFFFFF">
      <w:start w:val="1"/>
      <w:numFmt w:val="upperRoman"/>
      <w:lvlText w:val="%1."/>
      <w:lvlJc w:val="left"/>
      <w:pPr>
        <w:ind w:left="1440" w:hanging="720"/>
      </w:pPr>
      <w:rPr>
        <w:rFonts w:hint="default"/>
      </w:rPr>
    </w:lvl>
    <w:lvl w:ilvl="1" w:tplc="04090003">
      <w:start w:val="1"/>
      <w:numFmt w:val="bullet"/>
      <w:lvlText w:val="o"/>
      <w:lvlJc w:val="left"/>
      <w:pPr>
        <w:ind w:left="288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F6C50B6"/>
    <w:multiLevelType w:val="hybridMultilevel"/>
    <w:tmpl w:val="56E2A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05A0759"/>
    <w:multiLevelType w:val="hybridMultilevel"/>
    <w:tmpl w:val="F0CA0170"/>
    <w:lvl w:ilvl="0" w:tplc="7CE01DC4">
      <w:start w:val="1"/>
      <w:numFmt w:val="upperRoman"/>
      <w:pStyle w:val="Heading3"/>
      <w:lvlText w:val="%1."/>
      <w:lvlJc w:val="left"/>
      <w:pPr>
        <w:ind w:left="1440" w:hanging="72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FB6419"/>
    <w:multiLevelType w:val="hybridMultilevel"/>
    <w:tmpl w:val="9DF43718"/>
    <w:lvl w:ilvl="0" w:tplc="FFFFFFFF">
      <w:start w:val="1"/>
      <w:numFmt w:val="upp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1" w15:restartNumberingAfterBreak="0">
    <w:nsid w:val="773D3FA0"/>
    <w:multiLevelType w:val="hybridMultilevel"/>
    <w:tmpl w:val="3C701F7E"/>
    <w:lvl w:ilvl="0" w:tplc="F2D6C07C">
      <w:start w:val="1"/>
      <w:numFmt w:val="upperRoman"/>
      <w:lvlText w:val="%1."/>
      <w:lvlJc w:val="left"/>
      <w:pPr>
        <w:ind w:left="1440" w:hanging="72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B06A30"/>
    <w:multiLevelType w:val="hybridMultilevel"/>
    <w:tmpl w:val="CF5EF0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8E66B8E"/>
    <w:multiLevelType w:val="hybridMultilevel"/>
    <w:tmpl w:val="9DF43718"/>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AC52D39"/>
    <w:multiLevelType w:val="multilevel"/>
    <w:tmpl w:val="60B8DCF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342A8E"/>
    <w:multiLevelType w:val="hybridMultilevel"/>
    <w:tmpl w:val="9A869600"/>
    <w:lvl w:ilvl="0" w:tplc="18FE16A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95DE8"/>
    <w:multiLevelType w:val="multilevel"/>
    <w:tmpl w:val="F19212A4"/>
    <w:lvl w:ilvl="0">
      <w:start w:val="1"/>
      <w:numFmt w:val="bullet"/>
      <w:lvlText w:val=""/>
      <w:lvlJc w:val="left"/>
      <w:pPr>
        <w:ind w:left="720" w:hanging="360"/>
      </w:pPr>
      <w:rPr>
        <w:rFonts w:ascii="Wingdings" w:hAnsi="Wingdings"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4757B4"/>
    <w:multiLevelType w:val="multilevel"/>
    <w:tmpl w:val="B16E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5292273">
    <w:abstractNumId w:val="36"/>
  </w:num>
  <w:num w:numId="2" w16cid:durableId="1113943021">
    <w:abstractNumId w:val="11"/>
  </w:num>
  <w:num w:numId="3" w16cid:durableId="1163855186">
    <w:abstractNumId w:val="7"/>
  </w:num>
  <w:num w:numId="4" w16cid:durableId="1568691360">
    <w:abstractNumId w:val="15"/>
  </w:num>
  <w:num w:numId="5" w16cid:durableId="1499612905">
    <w:abstractNumId w:val="26"/>
  </w:num>
  <w:num w:numId="6" w16cid:durableId="598409607">
    <w:abstractNumId w:val="20"/>
  </w:num>
  <w:num w:numId="7" w16cid:durableId="1493065512">
    <w:abstractNumId w:val="34"/>
  </w:num>
  <w:num w:numId="8" w16cid:durableId="1377437764">
    <w:abstractNumId w:val="22"/>
  </w:num>
  <w:num w:numId="9" w16cid:durableId="1754014062">
    <w:abstractNumId w:val="24"/>
  </w:num>
  <w:num w:numId="10" w16cid:durableId="136845072">
    <w:abstractNumId w:val="25"/>
  </w:num>
  <w:num w:numId="11" w16cid:durableId="1070347264">
    <w:abstractNumId w:val="35"/>
  </w:num>
  <w:num w:numId="12" w16cid:durableId="1234199645">
    <w:abstractNumId w:val="35"/>
    <w:lvlOverride w:ilvl="0">
      <w:startOverride w:val="1"/>
    </w:lvlOverride>
  </w:num>
  <w:num w:numId="13" w16cid:durableId="830290997">
    <w:abstractNumId w:val="13"/>
  </w:num>
  <w:num w:numId="14" w16cid:durableId="777988279">
    <w:abstractNumId w:val="35"/>
    <w:lvlOverride w:ilvl="0">
      <w:startOverride w:val="1"/>
    </w:lvlOverride>
  </w:num>
  <w:num w:numId="15" w16cid:durableId="565458075">
    <w:abstractNumId w:val="4"/>
  </w:num>
  <w:num w:numId="16" w16cid:durableId="752507429">
    <w:abstractNumId w:val="29"/>
  </w:num>
  <w:num w:numId="17" w16cid:durableId="1114520122">
    <w:abstractNumId w:val="32"/>
  </w:num>
  <w:num w:numId="18" w16cid:durableId="488207759">
    <w:abstractNumId w:val="18"/>
  </w:num>
  <w:num w:numId="19" w16cid:durableId="638196073">
    <w:abstractNumId w:val="1"/>
  </w:num>
  <w:num w:numId="20" w16cid:durableId="980694357">
    <w:abstractNumId w:val="19"/>
  </w:num>
  <w:num w:numId="21" w16cid:durableId="501310688">
    <w:abstractNumId w:val="10"/>
  </w:num>
  <w:num w:numId="22" w16cid:durableId="2147119158">
    <w:abstractNumId w:val="3"/>
  </w:num>
  <w:num w:numId="23" w16cid:durableId="155805722">
    <w:abstractNumId w:val="28"/>
  </w:num>
  <w:num w:numId="24" w16cid:durableId="1896895784">
    <w:abstractNumId w:val="14"/>
  </w:num>
  <w:num w:numId="25" w16cid:durableId="2072845392">
    <w:abstractNumId w:val="21"/>
  </w:num>
  <w:num w:numId="26" w16cid:durableId="1839152245">
    <w:abstractNumId w:val="5"/>
  </w:num>
  <w:num w:numId="27" w16cid:durableId="279454848">
    <w:abstractNumId w:val="33"/>
  </w:num>
  <w:num w:numId="28" w16cid:durableId="109672562">
    <w:abstractNumId w:val="17"/>
  </w:num>
  <w:num w:numId="29" w16cid:durableId="1785004759">
    <w:abstractNumId w:val="6"/>
  </w:num>
  <w:num w:numId="30" w16cid:durableId="1485590067">
    <w:abstractNumId w:val="12"/>
  </w:num>
  <w:num w:numId="31" w16cid:durableId="1915773942">
    <w:abstractNumId w:val="2"/>
  </w:num>
  <w:num w:numId="32" w16cid:durableId="831724398">
    <w:abstractNumId w:val="31"/>
  </w:num>
  <w:num w:numId="33" w16cid:durableId="958339470">
    <w:abstractNumId w:val="37"/>
  </w:num>
  <w:num w:numId="34" w16cid:durableId="104739026">
    <w:abstractNumId w:val="27"/>
  </w:num>
  <w:num w:numId="35" w16cid:durableId="628898961">
    <w:abstractNumId w:val="29"/>
    <w:lvlOverride w:ilvl="0">
      <w:startOverride w:val="1"/>
    </w:lvlOverride>
  </w:num>
  <w:num w:numId="36" w16cid:durableId="955722498">
    <w:abstractNumId w:val="29"/>
    <w:lvlOverride w:ilvl="0">
      <w:startOverride w:val="1"/>
    </w:lvlOverride>
  </w:num>
  <w:num w:numId="37" w16cid:durableId="488984228">
    <w:abstractNumId w:val="8"/>
  </w:num>
  <w:num w:numId="38" w16cid:durableId="1870530444">
    <w:abstractNumId w:val="0"/>
  </w:num>
  <w:num w:numId="39" w16cid:durableId="929432032">
    <w:abstractNumId w:val="23"/>
  </w:num>
  <w:num w:numId="40" w16cid:durableId="1813018257">
    <w:abstractNumId w:val="29"/>
    <w:lvlOverride w:ilvl="0">
      <w:startOverride w:val="1"/>
    </w:lvlOverride>
  </w:num>
  <w:num w:numId="41" w16cid:durableId="1713580742">
    <w:abstractNumId w:val="29"/>
    <w:lvlOverride w:ilvl="0">
      <w:startOverride w:val="1"/>
    </w:lvlOverride>
  </w:num>
  <w:num w:numId="42" w16cid:durableId="2134665284">
    <w:abstractNumId w:val="9"/>
  </w:num>
  <w:num w:numId="43" w16cid:durableId="1758819531">
    <w:abstractNumId w:val="30"/>
  </w:num>
  <w:num w:numId="44" w16cid:durableId="2036224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2C"/>
    <w:rsid w:val="000F5021"/>
    <w:rsid w:val="001029EF"/>
    <w:rsid w:val="001127C0"/>
    <w:rsid w:val="001459C4"/>
    <w:rsid w:val="00163A3D"/>
    <w:rsid w:val="001A2B10"/>
    <w:rsid w:val="001B7C78"/>
    <w:rsid w:val="001D228B"/>
    <w:rsid w:val="0020063A"/>
    <w:rsid w:val="00281A41"/>
    <w:rsid w:val="002B2B35"/>
    <w:rsid w:val="002C39D4"/>
    <w:rsid w:val="002C7DEF"/>
    <w:rsid w:val="002D371C"/>
    <w:rsid w:val="002E6387"/>
    <w:rsid w:val="002F6228"/>
    <w:rsid w:val="00322F61"/>
    <w:rsid w:val="00350D1F"/>
    <w:rsid w:val="003823F2"/>
    <w:rsid w:val="003A48E8"/>
    <w:rsid w:val="003C6FCF"/>
    <w:rsid w:val="003E255C"/>
    <w:rsid w:val="0041087A"/>
    <w:rsid w:val="004202EB"/>
    <w:rsid w:val="004528F7"/>
    <w:rsid w:val="00474574"/>
    <w:rsid w:val="00480AF5"/>
    <w:rsid w:val="00486A5E"/>
    <w:rsid w:val="0048726C"/>
    <w:rsid w:val="004A40A6"/>
    <w:rsid w:val="004E4323"/>
    <w:rsid w:val="004E5511"/>
    <w:rsid w:val="00561AE5"/>
    <w:rsid w:val="00564F7D"/>
    <w:rsid w:val="005B0109"/>
    <w:rsid w:val="005B4317"/>
    <w:rsid w:val="005E53AC"/>
    <w:rsid w:val="00613879"/>
    <w:rsid w:val="006249D5"/>
    <w:rsid w:val="00637E65"/>
    <w:rsid w:val="006410E1"/>
    <w:rsid w:val="00654054"/>
    <w:rsid w:val="006554E5"/>
    <w:rsid w:val="00656175"/>
    <w:rsid w:val="00694C4B"/>
    <w:rsid w:val="00696F80"/>
    <w:rsid w:val="006C1ABE"/>
    <w:rsid w:val="006C7F81"/>
    <w:rsid w:val="006D08BB"/>
    <w:rsid w:val="006D5A1C"/>
    <w:rsid w:val="006E2A4A"/>
    <w:rsid w:val="006E7C74"/>
    <w:rsid w:val="00750F49"/>
    <w:rsid w:val="007547F8"/>
    <w:rsid w:val="00782FAD"/>
    <w:rsid w:val="00791FC7"/>
    <w:rsid w:val="007C1E33"/>
    <w:rsid w:val="007D0340"/>
    <w:rsid w:val="007D1980"/>
    <w:rsid w:val="008026B2"/>
    <w:rsid w:val="00851868"/>
    <w:rsid w:val="00914164"/>
    <w:rsid w:val="00923052"/>
    <w:rsid w:val="00930530"/>
    <w:rsid w:val="00934D00"/>
    <w:rsid w:val="00945C6C"/>
    <w:rsid w:val="009A2EDD"/>
    <w:rsid w:val="009D5649"/>
    <w:rsid w:val="009E560E"/>
    <w:rsid w:val="009F3C19"/>
    <w:rsid w:val="00A25B56"/>
    <w:rsid w:val="00A33118"/>
    <w:rsid w:val="00A4234B"/>
    <w:rsid w:val="00A424EC"/>
    <w:rsid w:val="00A5640B"/>
    <w:rsid w:val="00A870BA"/>
    <w:rsid w:val="00B2149B"/>
    <w:rsid w:val="00BA00E2"/>
    <w:rsid w:val="00BA62D5"/>
    <w:rsid w:val="00BD7046"/>
    <w:rsid w:val="00BE3693"/>
    <w:rsid w:val="00BF217D"/>
    <w:rsid w:val="00C06A73"/>
    <w:rsid w:val="00C6014B"/>
    <w:rsid w:val="00CB2C8A"/>
    <w:rsid w:val="00CB306F"/>
    <w:rsid w:val="00CF4864"/>
    <w:rsid w:val="00D2792C"/>
    <w:rsid w:val="00D536C3"/>
    <w:rsid w:val="00D653D3"/>
    <w:rsid w:val="00D86242"/>
    <w:rsid w:val="00DA3133"/>
    <w:rsid w:val="00DB72B6"/>
    <w:rsid w:val="00DE32CE"/>
    <w:rsid w:val="00E07391"/>
    <w:rsid w:val="00E20E32"/>
    <w:rsid w:val="00E81FC6"/>
    <w:rsid w:val="00E97229"/>
    <w:rsid w:val="00EE3A9F"/>
    <w:rsid w:val="00F442BE"/>
    <w:rsid w:val="00F46553"/>
    <w:rsid w:val="00F55CC7"/>
    <w:rsid w:val="00F57E50"/>
    <w:rsid w:val="00F60324"/>
    <w:rsid w:val="00F620FA"/>
    <w:rsid w:val="00F94E62"/>
    <w:rsid w:val="00FC78D6"/>
    <w:rsid w:val="00FE20E1"/>
    <w:rsid w:val="00FE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1A1CB"/>
  <w15:docId w15:val="{BBCD2D9D-5D10-8247-9020-87C6F077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74"/>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rsid w:val="00BD7046"/>
    <w:pPr>
      <w:keepNext/>
      <w:keepLines/>
      <w:numPr>
        <w:ilvl w:val="3"/>
        <w:numId w:val="3"/>
      </w:numPr>
      <w:spacing w:before="400" w:after="120"/>
      <w:ind w:left="-72"/>
      <w:outlineLvl w:val="0"/>
    </w:pPr>
    <w:rPr>
      <w:color w:val="4F81BD" w:themeColor="accent1"/>
      <w:sz w:val="32"/>
      <w:szCs w:val="40"/>
    </w:rPr>
  </w:style>
  <w:style w:type="paragraph" w:styleId="Heading2">
    <w:name w:val="heading 2"/>
    <w:basedOn w:val="Normal"/>
    <w:next w:val="Normal"/>
    <w:rsid w:val="00914164"/>
    <w:pPr>
      <w:keepNext/>
      <w:keepLines/>
      <w:numPr>
        <w:numId w:val="11"/>
      </w:numPr>
      <w:spacing w:before="360" w:after="120"/>
      <w:ind w:left="360"/>
      <w:outlineLvl w:val="1"/>
    </w:pPr>
    <w:rPr>
      <w:color w:val="4F81BD" w:themeColor="accent1"/>
      <w:sz w:val="28"/>
      <w:szCs w:val="32"/>
    </w:rPr>
  </w:style>
  <w:style w:type="paragraph" w:styleId="Heading3">
    <w:name w:val="heading 3"/>
    <w:basedOn w:val="ListParagraph"/>
    <w:next w:val="Normal"/>
    <w:rsid w:val="004E5511"/>
    <w:pPr>
      <w:numPr>
        <w:numId w:val="16"/>
      </w:numPr>
      <w:outlineLvl w:val="2"/>
    </w:pPr>
    <w:rPr>
      <w:b/>
      <w:bCs/>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4C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C4B"/>
    <w:rPr>
      <w:rFonts w:ascii="Segoe UI" w:hAnsi="Segoe UI" w:cs="Segoe UI"/>
      <w:sz w:val="18"/>
      <w:szCs w:val="18"/>
    </w:rPr>
  </w:style>
  <w:style w:type="paragraph" w:styleId="Header">
    <w:name w:val="header"/>
    <w:basedOn w:val="Normal"/>
    <w:link w:val="HeaderChar"/>
    <w:uiPriority w:val="99"/>
    <w:unhideWhenUsed/>
    <w:rsid w:val="00694C4B"/>
    <w:pPr>
      <w:tabs>
        <w:tab w:val="center" w:pos="4680"/>
        <w:tab w:val="right" w:pos="9360"/>
      </w:tabs>
    </w:pPr>
  </w:style>
  <w:style w:type="character" w:customStyle="1" w:styleId="HeaderChar">
    <w:name w:val="Header Char"/>
    <w:basedOn w:val="DefaultParagraphFont"/>
    <w:link w:val="Header"/>
    <w:uiPriority w:val="99"/>
    <w:rsid w:val="00694C4B"/>
  </w:style>
  <w:style w:type="paragraph" w:styleId="Footer">
    <w:name w:val="footer"/>
    <w:basedOn w:val="Normal"/>
    <w:link w:val="FooterChar"/>
    <w:uiPriority w:val="99"/>
    <w:unhideWhenUsed/>
    <w:rsid w:val="00694C4B"/>
    <w:pPr>
      <w:tabs>
        <w:tab w:val="center" w:pos="4680"/>
        <w:tab w:val="right" w:pos="9360"/>
      </w:tabs>
    </w:pPr>
  </w:style>
  <w:style w:type="character" w:customStyle="1" w:styleId="FooterChar">
    <w:name w:val="Footer Char"/>
    <w:basedOn w:val="DefaultParagraphFont"/>
    <w:link w:val="Footer"/>
    <w:uiPriority w:val="99"/>
    <w:rsid w:val="00694C4B"/>
  </w:style>
  <w:style w:type="paragraph" w:styleId="CommentSubject">
    <w:name w:val="annotation subject"/>
    <w:basedOn w:val="CommentText"/>
    <w:next w:val="CommentText"/>
    <w:link w:val="CommentSubjectChar"/>
    <w:uiPriority w:val="99"/>
    <w:semiHidden/>
    <w:unhideWhenUsed/>
    <w:rsid w:val="00750F49"/>
    <w:rPr>
      <w:b/>
      <w:bCs/>
    </w:rPr>
  </w:style>
  <w:style w:type="character" w:customStyle="1" w:styleId="CommentSubjectChar">
    <w:name w:val="Comment Subject Char"/>
    <w:basedOn w:val="CommentTextChar"/>
    <w:link w:val="CommentSubject"/>
    <w:uiPriority w:val="99"/>
    <w:semiHidden/>
    <w:rsid w:val="00750F49"/>
    <w:rPr>
      <w:b/>
      <w:bCs/>
      <w:sz w:val="20"/>
      <w:szCs w:val="20"/>
    </w:rPr>
  </w:style>
  <w:style w:type="paragraph" w:styleId="ListParagraph">
    <w:name w:val="List Paragraph"/>
    <w:basedOn w:val="Normal"/>
    <w:uiPriority w:val="34"/>
    <w:qFormat/>
    <w:rsid w:val="007547F8"/>
    <w:pPr>
      <w:ind w:left="720"/>
      <w:contextualSpacing/>
    </w:pPr>
  </w:style>
  <w:style w:type="character" w:styleId="Hyperlink">
    <w:name w:val="Hyperlink"/>
    <w:basedOn w:val="DefaultParagraphFont"/>
    <w:uiPriority w:val="99"/>
    <w:unhideWhenUsed/>
    <w:rsid w:val="00F442BE"/>
    <w:rPr>
      <w:color w:val="0000FF" w:themeColor="hyperlink"/>
      <w:u w:val="single"/>
    </w:rPr>
  </w:style>
  <w:style w:type="paragraph" w:styleId="TOCHeading">
    <w:name w:val="TOC Heading"/>
    <w:basedOn w:val="Heading1"/>
    <w:next w:val="Normal"/>
    <w:uiPriority w:val="39"/>
    <w:unhideWhenUsed/>
    <w:qFormat/>
    <w:rsid w:val="00A4234B"/>
    <w:pPr>
      <w:numPr>
        <w:ilvl w:val="0"/>
        <w:numId w:val="0"/>
      </w:numPr>
      <w:spacing w:before="240" w:after="0" w:line="259" w:lineRule="auto"/>
      <w:outlineLvl w:val="9"/>
    </w:pPr>
    <w:rPr>
      <w:rFonts w:asciiTheme="majorHAnsi" w:eastAsiaTheme="majorEastAsia" w:hAnsiTheme="majorHAnsi" w:cstheme="majorBidi"/>
      <w:color w:val="365F91" w:themeColor="accent1" w:themeShade="BF"/>
      <w:szCs w:val="32"/>
    </w:rPr>
  </w:style>
  <w:style w:type="paragraph" w:styleId="TOC1">
    <w:name w:val="toc 1"/>
    <w:basedOn w:val="Normal"/>
    <w:next w:val="Normal"/>
    <w:autoRedefine/>
    <w:uiPriority w:val="39"/>
    <w:unhideWhenUsed/>
    <w:rsid w:val="00A4234B"/>
    <w:pPr>
      <w:spacing w:after="100"/>
    </w:pPr>
  </w:style>
  <w:style w:type="paragraph" w:styleId="TOC2">
    <w:name w:val="toc 2"/>
    <w:basedOn w:val="Normal"/>
    <w:next w:val="Normal"/>
    <w:autoRedefine/>
    <w:uiPriority w:val="39"/>
    <w:unhideWhenUsed/>
    <w:rsid w:val="00A4234B"/>
    <w:pPr>
      <w:spacing w:after="100"/>
      <w:ind w:left="220"/>
    </w:pPr>
  </w:style>
  <w:style w:type="paragraph" w:styleId="NormalWeb">
    <w:name w:val="Normal (Web)"/>
    <w:basedOn w:val="Normal"/>
    <w:uiPriority w:val="99"/>
    <w:semiHidden/>
    <w:unhideWhenUsed/>
    <w:rsid w:val="004E5511"/>
    <w:pPr>
      <w:spacing w:before="100" w:beforeAutospacing="1" w:after="100" w:afterAutospacing="1"/>
    </w:pPr>
  </w:style>
  <w:style w:type="paragraph" w:styleId="TOC3">
    <w:name w:val="toc 3"/>
    <w:basedOn w:val="Normal"/>
    <w:next w:val="Normal"/>
    <w:autoRedefine/>
    <w:uiPriority w:val="39"/>
    <w:unhideWhenUsed/>
    <w:rsid w:val="004E5511"/>
    <w:pPr>
      <w:spacing w:after="100"/>
      <w:ind w:left="480"/>
    </w:pPr>
  </w:style>
  <w:style w:type="character" w:styleId="UnresolvedMention">
    <w:name w:val="Unresolved Mention"/>
    <w:basedOn w:val="DefaultParagraphFont"/>
    <w:uiPriority w:val="99"/>
    <w:semiHidden/>
    <w:unhideWhenUsed/>
    <w:rsid w:val="00FE46BB"/>
    <w:rPr>
      <w:color w:val="605E5C"/>
      <w:shd w:val="clear" w:color="auto" w:fill="E1DFDD"/>
    </w:rPr>
  </w:style>
  <w:style w:type="paragraph" w:styleId="BodyText">
    <w:name w:val="Body Text"/>
    <w:basedOn w:val="Normal"/>
    <w:link w:val="BodyTextChar"/>
    <w:uiPriority w:val="1"/>
    <w:qFormat/>
    <w:rsid w:val="00FC78D6"/>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99"/>
    <w:rsid w:val="00FC78D6"/>
    <w:rPr>
      <w:rFonts w:ascii="Times New Roman" w:eastAsiaTheme="minorEastAsia" w:hAnsi="Times New Roman" w:cs="Times New Roman"/>
      <w:lang w:val="en-US"/>
    </w:rPr>
  </w:style>
  <w:style w:type="character" w:styleId="FollowedHyperlink">
    <w:name w:val="FollowedHyperlink"/>
    <w:basedOn w:val="DefaultParagraphFont"/>
    <w:uiPriority w:val="99"/>
    <w:semiHidden/>
    <w:unhideWhenUsed/>
    <w:rsid w:val="006249D5"/>
    <w:rPr>
      <w:color w:val="800080" w:themeColor="followedHyperlink"/>
      <w:u w:val="single"/>
    </w:rPr>
  </w:style>
  <w:style w:type="paragraph" w:styleId="Revision">
    <w:name w:val="Revision"/>
    <w:hidden/>
    <w:uiPriority w:val="99"/>
    <w:semiHidden/>
    <w:rsid w:val="006249D5"/>
    <w:pPr>
      <w:spacing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1085">
      <w:bodyDiv w:val="1"/>
      <w:marLeft w:val="0"/>
      <w:marRight w:val="0"/>
      <w:marTop w:val="0"/>
      <w:marBottom w:val="0"/>
      <w:divBdr>
        <w:top w:val="none" w:sz="0" w:space="0" w:color="auto"/>
        <w:left w:val="none" w:sz="0" w:space="0" w:color="auto"/>
        <w:bottom w:val="none" w:sz="0" w:space="0" w:color="auto"/>
        <w:right w:val="none" w:sz="0" w:space="0" w:color="auto"/>
      </w:divBdr>
    </w:div>
    <w:div w:id="90782295">
      <w:bodyDiv w:val="1"/>
      <w:marLeft w:val="0"/>
      <w:marRight w:val="0"/>
      <w:marTop w:val="0"/>
      <w:marBottom w:val="0"/>
      <w:divBdr>
        <w:top w:val="none" w:sz="0" w:space="0" w:color="auto"/>
        <w:left w:val="none" w:sz="0" w:space="0" w:color="auto"/>
        <w:bottom w:val="none" w:sz="0" w:space="0" w:color="auto"/>
        <w:right w:val="none" w:sz="0" w:space="0" w:color="auto"/>
      </w:divBdr>
    </w:div>
    <w:div w:id="171797508">
      <w:bodyDiv w:val="1"/>
      <w:marLeft w:val="0"/>
      <w:marRight w:val="0"/>
      <w:marTop w:val="0"/>
      <w:marBottom w:val="0"/>
      <w:divBdr>
        <w:top w:val="none" w:sz="0" w:space="0" w:color="auto"/>
        <w:left w:val="none" w:sz="0" w:space="0" w:color="auto"/>
        <w:bottom w:val="none" w:sz="0" w:space="0" w:color="auto"/>
        <w:right w:val="none" w:sz="0" w:space="0" w:color="auto"/>
      </w:divBdr>
    </w:div>
    <w:div w:id="188489282">
      <w:bodyDiv w:val="1"/>
      <w:marLeft w:val="0"/>
      <w:marRight w:val="0"/>
      <w:marTop w:val="0"/>
      <w:marBottom w:val="0"/>
      <w:divBdr>
        <w:top w:val="none" w:sz="0" w:space="0" w:color="auto"/>
        <w:left w:val="none" w:sz="0" w:space="0" w:color="auto"/>
        <w:bottom w:val="none" w:sz="0" w:space="0" w:color="auto"/>
        <w:right w:val="none" w:sz="0" w:space="0" w:color="auto"/>
      </w:divBdr>
      <w:divsChild>
        <w:div w:id="22440447">
          <w:marLeft w:val="0"/>
          <w:marRight w:val="0"/>
          <w:marTop w:val="0"/>
          <w:marBottom w:val="0"/>
          <w:divBdr>
            <w:top w:val="none" w:sz="0" w:space="0" w:color="auto"/>
            <w:left w:val="none" w:sz="0" w:space="0" w:color="auto"/>
            <w:bottom w:val="none" w:sz="0" w:space="0" w:color="auto"/>
            <w:right w:val="none" w:sz="0" w:space="0" w:color="auto"/>
          </w:divBdr>
          <w:divsChild>
            <w:div w:id="8408326">
              <w:marLeft w:val="0"/>
              <w:marRight w:val="0"/>
              <w:marTop w:val="0"/>
              <w:marBottom w:val="0"/>
              <w:divBdr>
                <w:top w:val="none" w:sz="0" w:space="0" w:color="auto"/>
                <w:left w:val="none" w:sz="0" w:space="0" w:color="auto"/>
                <w:bottom w:val="none" w:sz="0" w:space="0" w:color="auto"/>
                <w:right w:val="none" w:sz="0" w:space="0" w:color="auto"/>
              </w:divBdr>
              <w:divsChild>
                <w:div w:id="307512935">
                  <w:marLeft w:val="0"/>
                  <w:marRight w:val="0"/>
                  <w:marTop w:val="0"/>
                  <w:marBottom w:val="0"/>
                  <w:divBdr>
                    <w:top w:val="none" w:sz="0" w:space="0" w:color="auto"/>
                    <w:left w:val="none" w:sz="0" w:space="0" w:color="auto"/>
                    <w:bottom w:val="none" w:sz="0" w:space="0" w:color="auto"/>
                    <w:right w:val="none" w:sz="0" w:space="0" w:color="auto"/>
                  </w:divBdr>
                  <w:divsChild>
                    <w:div w:id="11189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3064">
      <w:bodyDiv w:val="1"/>
      <w:marLeft w:val="0"/>
      <w:marRight w:val="0"/>
      <w:marTop w:val="0"/>
      <w:marBottom w:val="0"/>
      <w:divBdr>
        <w:top w:val="none" w:sz="0" w:space="0" w:color="auto"/>
        <w:left w:val="none" w:sz="0" w:space="0" w:color="auto"/>
        <w:bottom w:val="none" w:sz="0" w:space="0" w:color="auto"/>
        <w:right w:val="none" w:sz="0" w:space="0" w:color="auto"/>
      </w:divBdr>
    </w:div>
    <w:div w:id="288704852">
      <w:bodyDiv w:val="1"/>
      <w:marLeft w:val="0"/>
      <w:marRight w:val="0"/>
      <w:marTop w:val="0"/>
      <w:marBottom w:val="0"/>
      <w:divBdr>
        <w:top w:val="none" w:sz="0" w:space="0" w:color="auto"/>
        <w:left w:val="none" w:sz="0" w:space="0" w:color="auto"/>
        <w:bottom w:val="none" w:sz="0" w:space="0" w:color="auto"/>
        <w:right w:val="none" w:sz="0" w:space="0" w:color="auto"/>
      </w:divBdr>
    </w:div>
    <w:div w:id="401684620">
      <w:bodyDiv w:val="1"/>
      <w:marLeft w:val="0"/>
      <w:marRight w:val="0"/>
      <w:marTop w:val="0"/>
      <w:marBottom w:val="0"/>
      <w:divBdr>
        <w:top w:val="none" w:sz="0" w:space="0" w:color="auto"/>
        <w:left w:val="none" w:sz="0" w:space="0" w:color="auto"/>
        <w:bottom w:val="none" w:sz="0" w:space="0" w:color="auto"/>
        <w:right w:val="none" w:sz="0" w:space="0" w:color="auto"/>
      </w:divBdr>
    </w:div>
    <w:div w:id="641665756">
      <w:bodyDiv w:val="1"/>
      <w:marLeft w:val="0"/>
      <w:marRight w:val="0"/>
      <w:marTop w:val="0"/>
      <w:marBottom w:val="0"/>
      <w:divBdr>
        <w:top w:val="none" w:sz="0" w:space="0" w:color="auto"/>
        <w:left w:val="none" w:sz="0" w:space="0" w:color="auto"/>
        <w:bottom w:val="none" w:sz="0" w:space="0" w:color="auto"/>
        <w:right w:val="none" w:sz="0" w:space="0" w:color="auto"/>
      </w:divBdr>
    </w:div>
    <w:div w:id="708069496">
      <w:bodyDiv w:val="1"/>
      <w:marLeft w:val="0"/>
      <w:marRight w:val="0"/>
      <w:marTop w:val="0"/>
      <w:marBottom w:val="0"/>
      <w:divBdr>
        <w:top w:val="none" w:sz="0" w:space="0" w:color="auto"/>
        <w:left w:val="none" w:sz="0" w:space="0" w:color="auto"/>
        <w:bottom w:val="none" w:sz="0" w:space="0" w:color="auto"/>
        <w:right w:val="none" w:sz="0" w:space="0" w:color="auto"/>
      </w:divBdr>
    </w:div>
    <w:div w:id="1057241154">
      <w:bodyDiv w:val="1"/>
      <w:marLeft w:val="0"/>
      <w:marRight w:val="0"/>
      <w:marTop w:val="0"/>
      <w:marBottom w:val="0"/>
      <w:divBdr>
        <w:top w:val="none" w:sz="0" w:space="0" w:color="auto"/>
        <w:left w:val="none" w:sz="0" w:space="0" w:color="auto"/>
        <w:bottom w:val="none" w:sz="0" w:space="0" w:color="auto"/>
        <w:right w:val="none" w:sz="0" w:space="0" w:color="auto"/>
      </w:divBdr>
    </w:div>
    <w:div w:id="1256595834">
      <w:bodyDiv w:val="1"/>
      <w:marLeft w:val="0"/>
      <w:marRight w:val="0"/>
      <w:marTop w:val="0"/>
      <w:marBottom w:val="0"/>
      <w:divBdr>
        <w:top w:val="none" w:sz="0" w:space="0" w:color="auto"/>
        <w:left w:val="none" w:sz="0" w:space="0" w:color="auto"/>
        <w:bottom w:val="none" w:sz="0" w:space="0" w:color="auto"/>
        <w:right w:val="none" w:sz="0" w:space="0" w:color="auto"/>
      </w:divBdr>
    </w:div>
    <w:div w:id="1495218937">
      <w:bodyDiv w:val="1"/>
      <w:marLeft w:val="0"/>
      <w:marRight w:val="0"/>
      <w:marTop w:val="0"/>
      <w:marBottom w:val="0"/>
      <w:divBdr>
        <w:top w:val="none" w:sz="0" w:space="0" w:color="auto"/>
        <w:left w:val="none" w:sz="0" w:space="0" w:color="auto"/>
        <w:bottom w:val="none" w:sz="0" w:space="0" w:color="auto"/>
        <w:right w:val="none" w:sz="0" w:space="0" w:color="auto"/>
      </w:divBdr>
      <w:divsChild>
        <w:div w:id="242419615">
          <w:marLeft w:val="0"/>
          <w:marRight w:val="0"/>
          <w:marTop w:val="0"/>
          <w:marBottom w:val="0"/>
          <w:divBdr>
            <w:top w:val="none" w:sz="0" w:space="0" w:color="auto"/>
            <w:left w:val="none" w:sz="0" w:space="0" w:color="auto"/>
            <w:bottom w:val="none" w:sz="0" w:space="0" w:color="auto"/>
            <w:right w:val="none" w:sz="0" w:space="0" w:color="auto"/>
          </w:divBdr>
          <w:divsChild>
            <w:div w:id="1316370686">
              <w:marLeft w:val="0"/>
              <w:marRight w:val="0"/>
              <w:marTop w:val="0"/>
              <w:marBottom w:val="0"/>
              <w:divBdr>
                <w:top w:val="none" w:sz="0" w:space="0" w:color="auto"/>
                <w:left w:val="none" w:sz="0" w:space="0" w:color="auto"/>
                <w:bottom w:val="none" w:sz="0" w:space="0" w:color="auto"/>
                <w:right w:val="none" w:sz="0" w:space="0" w:color="auto"/>
              </w:divBdr>
              <w:divsChild>
                <w:div w:id="538738372">
                  <w:marLeft w:val="0"/>
                  <w:marRight w:val="0"/>
                  <w:marTop w:val="0"/>
                  <w:marBottom w:val="0"/>
                  <w:divBdr>
                    <w:top w:val="none" w:sz="0" w:space="0" w:color="auto"/>
                    <w:left w:val="none" w:sz="0" w:space="0" w:color="auto"/>
                    <w:bottom w:val="none" w:sz="0" w:space="0" w:color="auto"/>
                    <w:right w:val="none" w:sz="0" w:space="0" w:color="auto"/>
                  </w:divBdr>
                  <w:divsChild>
                    <w:div w:id="7399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51526">
      <w:bodyDiv w:val="1"/>
      <w:marLeft w:val="0"/>
      <w:marRight w:val="0"/>
      <w:marTop w:val="0"/>
      <w:marBottom w:val="0"/>
      <w:divBdr>
        <w:top w:val="none" w:sz="0" w:space="0" w:color="auto"/>
        <w:left w:val="none" w:sz="0" w:space="0" w:color="auto"/>
        <w:bottom w:val="none" w:sz="0" w:space="0" w:color="auto"/>
        <w:right w:val="none" w:sz="0" w:space="0" w:color="auto"/>
      </w:divBdr>
    </w:div>
    <w:div w:id="1787774370">
      <w:bodyDiv w:val="1"/>
      <w:marLeft w:val="0"/>
      <w:marRight w:val="0"/>
      <w:marTop w:val="0"/>
      <w:marBottom w:val="0"/>
      <w:divBdr>
        <w:top w:val="none" w:sz="0" w:space="0" w:color="auto"/>
        <w:left w:val="none" w:sz="0" w:space="0" w:color="auto"/>
        <w:bottom w:val="none" w:sz="0" w:space="0" w:color="auto"/>
        <w:right w:val="none" w:sz="0" w:space="0" w:color="auto"/>
      </w:divBdr>
      <w:divsChild>
        <w:div w:id="1268196684">
          <w:marLeft w:val="0"/>
          <w:marRight w:val="0"/>
          <w:marTop w:val="0"/>
          <w:marBottom w:val="0"/>
          <w:divBdr>
            <w:top w:val="none" w:sz="0" w:space="0" w:color="auto"/>
            <w:left w:val="none" w:sz="0" w:space="0" w:color="auto"/>
            <w:bottom w:val="none" w:sz="0" w:space="0" w:color="auto"/>
            <w:right w:val="none" w:sz="0" w:space="0" w:color="auto"/>
          </w:divBdr>
          <w:divsChild>
            <w:div w:id="16782529">
              <w:marLeft w:val="0"/>
              <w:marRight w:val="0"/>
              <w:marTop w:val="0"/>
              <w:marBottom w:val="0"/>
              <w:divBdr>
                <w:top w:val="none" w:sz="0" w:space="0" w:color="auto"/>
                <w:left w:val="none" w:sz="0" w:space="0" w:color="auto"/>
                <w:bottom w:val="none" w:sz="0" w:space="0" w:color="auto"/>
                <w:right w:val="none" w:sz="0" w:space="0" w:color="auto"/>
              </w:divBdr>
              <w:divsChild>
                <w:div w:id="439375144">
                  <w:marLeft w:val="0"/>
                  <w:marRight w:val="0"/>
                  <w:marTop w:val="0"/>
                  <w:marBottom w:val="0"/>
                  <w:divBdr>
                    <w:top w:val="none" w:sz="0" w:space="0" w:color="auto"/>
                    <w:left w:val="none" w:sz="0" w:space="0" w:color="auto"/>
                    <w:bottom w:val="none" w:sz="0" w:space="0" w:color="auto"/>
                    <w:right w:val="none" w:sz="0" w:space="0" w:color="auto"/>
                  </w:divBdr>
                  <w:divsChild>
                    <w:div w:id="14633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246">
      <w:bodyDiv w:val="1"/>
      <w:marLeft w:val="0"/>
      <w:marRight w:val="0"/>
      <w:marTop w:val="0"/>
      <w:marBottom w:val="0"/>
      <w:divBdr>
        <w:top w:val="none" w:sz="0" w:space="0" w:color="auto"/>
        <w:left w:val="none" w:sz="0" w:space="0" w:color="auto"/>
        <w:bottom w:val="none" w:sz="0" w:space="0" w:color="auto"/>
        <w:right w:val="none" w:sz="0" w:space="0" w:color="auto"/>
      </w:divBdr>
    </w:div>
    <w:div w:id="1878161203">
      <w:bodyDiv w:val="1"/>
      <w:marLeft w:val="0"/>
      <w:marRight w:val="0"/>
      <w:marTop w:val="0"/>
      <w:marBottom w:val="0"/>
      <w:divBdr>
        <w:top w:val="none" w:sz="0" w:space="0" w:color="auto"/>
        <w:left w:val="none" w:sz="0" w:space="0" w:color="auto"/>
        <w:bottom w:val="none" w:sz="0" w:space="0" w:color="auto"/>
        <w:right w:val="none" w:sz="0" w:space="0" w:color="auto"/>
      </w:divBdr>
    </w:div>
    <w:div w:id="1889561287">
      <w:bodyDiv w:val="1"/>
      <w:marLeft w:val="0"/>
      <w:marRight w:val="0"/>
      <w:marTop w:val="0"/>
      <w:marBottom w:val="0"/>
      <w:divBdr>
        <w:top w:val="none" w:sz="0" w:space="0" w:color="auto"/>
        <w:left w:val="none" w:sz="0" w:space="0" w:color="auto"/>
        <w:bottom w:val="none" w:sz="0" w:space="0" w:color="auto"/>
        <w:right w:val="none" w:sz="0" w:space="0" w:color="auto"/>
      </w:divBdr>
      <w:divsChild>
        <w:div w:id="276134713">
          <w:marLeft w:val="0"/>
          <w:marRight w:val="0"/>
          <w:marTop w:val="0"/>
          <w:marBottom w:val="0"/>
          <w:divBdr>
            <w:top w:val="none" w:sz="0" w:space="0" w:color="auto"/>
            <w:left w:val="none" w:sz="0" w:space="0" w:color="auto"/>
            <w:bottom w:val="none" w:sz="0" w:space="0" w:color="auto"/>
            <w:right w:val="none" w:sz="0" w:space="0" w:color="auto"/>
          </w:divBdr>
          <w:divsChild>
            <w:div w:id="633412073">
              <w:marLeft w:val="0"/>
              <w:marRight w:val="0"/>
              <w:marTop w:val="0"/>
              <w:marBottom w:val="0"/>
              <w:divBdr>
                <w:top w:val="none" w:sz="0" w:space="0" w:color="auto"/>
                <w:left w:val="none" w:sz="0" w:space="0" w:color="auto"/>
                <w:bottom w:val="none" w:sz="0" w:space="0" w:color="auto"/>
                <w:right w:val="none" w:sz="0" w:space="0" w:color="auto"/>
              </w:divBdr>
              <w:divsChild>
                <w:div w:id="335035430">
                  <w:marLeft w:val="0"/>
                  <w:marRight w:val="0"/>
                  <w:marTop w:val="0"/>
                  <w:marBottom w:val="0"/>
                  <w:divBdr>
                    <w:top w:val="none" w:sz="0" w:space="0" w:color="auto"/>
                    <w:left w:val="none" w:sz="0" w:space="0" w:color="auto"/>
                    <w:bottom w:val="none" w:sz="0" w:space="0" w:color="auto"/>
                    <w:right w:val="none" w:sz="0" w:space="0" w:color="auto"/>
                  </w:divBdr>
                  <w:divsChild>
                    <w:div w:id="508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4206">
      <w:bodyDiv w:val="1"/>
      <w:marLeft w:val="0"/>
      <w:marRight w:val="0"/>
      <w:marTop w:val="0"/>
      <w:marBottom w:val="0"/>
      <w:divBdr>
        <w:top w:val="none" w:sz="0" w:space="0" w:color="auto"/>
        <w:left w:val="none" w:sz="0" w:space="0" w:color="auto"/>
        <w:bottom w:val="none" w:sz="0" w:space="0" w:color="auto"/>
        <w:right w:val="none" w:sz="0" w:space="0" w:color="auto"/>
      </w:divBdr>
    </w:div>
    <w:div w:id="1927376222">
      <w:bodyDiv w:val="1"/>
      <w:marLeft w:val="0"/>
      <w:marRight w:val="0"/>
      <w:marTop w:val="0"/>
      <w:marBottom w:val="0"/>
      <w:divBdr>
        <w:top w:val="none" w:sz="0" w:space="0" w:color="auto"/>
        <w:left w:val="none" w:sz="0" w:space="0" w:color="auto"/>
        <w:bottom w:val="none" w:sz="0" w:space="0" w:color="auto"/>
        <w:right w:val="none" w:sz="0" w:space="0" w:color="auto"/>
      </w:divBdr>
    </w:div>
    <w:div w:id="213787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gs.maryland.gov/Documents/DCE%20-%20Green%20Purchasing/Specs/ElectronicAndITProductsSpecification.pdf" TargetMode="External"/><Relationship Id="rId13" Type="http://schemas.openxmlformats.org/officeDocument/2006/relationships/hyperlink" Target="http://mgaleg.maryland.gov/mgawebsite/Laws/StatuteText?article=gsf&amp;section=14-410&amp;enactments=False&amp;archived=Fals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galeg.maryland.gov/mgawebsite/Laws/StatuteText?article=gsf&amp;section=14-402&amp;enactments=false" TargetMode="External"/><Relationship Id="rId17" Type="http://schemas.openxmlformats.org/officeDocument/2006/relationships/hyperlink" Target="https://www.ftc.gov/policy/federal-register-notices/guides-use-environmental-marketing-claims-green-guides" TargetMode="External"/><Relationship Id="rId2" Type="http://schemas.openxmlformats.org/officeDocument/2006/relationships/numbering" Target="numbering.xml"/><Relationship Id="rId16" Type="http://schemas.openxmlformats.org/officeDocument/2006/relationships/hyperlink" Target="https://mgaleg.maryland.gov/mgawebsite/Laws/StatuteText?article=gen&amp;section=9-1902&amp;enactments=fal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d.state.md.us/comar/comarhtml/21/21.11.07.07.ht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mgaleg.maryland.gov/mgawebsite/Laws/StatuteText?article=gen&amp;section=6-1202&amp;enactments=False&amp;archived=False" TargetMode="External"/><Relationship Id="rId23" Type="http://schemas.openxmlformats.org/officeDocument/2006/relationships/customXml" Target="../customXml/item3.xml"/><Relationship Id="rId10" Type="http://schemas.openxmlformats.org/officeDocument/2006/relationships/hyperlink" Target="http://www.dsd.state.md.us/comar/comarhtml/21/21.11.07.0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gs.maryland.gov/Documents/DCE%20-%20Green%20Purchasing/Specs/Janitorial%20Supplies%20and%20Services/Janitorial%20Supplies%20Specification.pdf" TargetMode="External"/><Relationship Id="rId14" Type="http://schemas.openxmlformats.org/officeDocument/2006/relationships/hyperlink" Target="http://mgaleg.maryland.gov/mgawebsite/Laws/StatuteText?article=gsf&amp;section=14-410&amp;enactments=False&amp;archived=False"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F462DB-78EF-4C15-A98F-7EBC65613C82}"/>
</file>

<file path=customXml/itemProps2.xml><?xml version="1.0" encoding="utf-8"?>
<ds:datastoreItem xmlns:ds="http://schemas.openxmlformats.org/officeDocument/2006/customXml" ds:itemID="{943DA5B0-43E3-4AFD-B859-AC27378DCB9E}"/>
</file>

<file path=customXml/itemProps3.xml><?xml version="1.0" encoding="utf-8"?>
<ds:datastoreItem xmlns:ds="http://schemas.openxmlformats.org/officeDocument/2006/customXml" ds:itemID="{1B03FF46-0594-474C-A9B9-3ED40F4CC48E}"/>
</file>

<file path=customXml/itemProps4.xml><?xml version="1.0" encoding="utf-8"?>
<ds:datastoreItem xmlns:ds="http://schemas.openxmlformats.org/officeDocument/2006/customXml" ds:itemID="{EEC0E65A-3A4D-4CFB-ADF9-EFCA2CC886BF}"/>
</file>

<file path=docProps/app.xml><?xml version="1.0" encoding="utf-8"?>
<Properties xmlns="http://schemas.openxmlformats.org/officeDocument/2006/extended-properties" xmlns:vt="http://schemas.openxmlformats.org/officeDocument/2006/docPropsVTypes">
  <Template>Normal</Template>
  <TotalTime>1</TotalTime>
  <Pages>8</Pages>
  <Words>2109</Words>
  <Characters>12172</Characters>
  <Application>Microsoft Office Word</Application>
  <DocSecurity>0</DocSecurity>
  <Lines>338</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Scott Moore</cp:lastModifiedBy>
  <cp:revision>2</cp:revision>
  <dcterms:created xsi:type="dcterms:W3CDTF">2022-11-14T16:42:00Z</dcterms:created>
  <dcterms:modified xsi:type="dcterms:W3CDTF">2022-11-14T16:42:00Z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